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10EBE6">
      <w:pPr>
        <w:widowControl w:val="0"/>
        <w:topLinePunct/>
        <w:adjustRightInd w:val="0"/>
        <w:snapToGrid w:val="0"/>
        <w:spacing w:line="240" w:lineRule="auto"/>
        <w:jc w:val="center"/>
        <w:rPr>
          <w:rFonts w:eastAsia="方正小标宋简体"/>
          <w:kern w:val="44"/>
          <w:sz w:val="48"/>
          <w:szCs w:val="48"/>
        </w:rPr>
      </w:pPr>
      <w:bookmarkStart w:id="81" w:name="_GoBack"/>
      <w:bookmarkEnd w:id="81"/>
    </w:p>
    <w:p w14:paraId="033443D8">
      <w:pPr>
        <w:widowControl w:val="0"/>
        <w:topLinePunct/>
        <w:adjustRightInd w:val="0"/>
        <w:snapToGrid w:val="0"/>
        <w:spacing w:line="240" w:lineRule="auto"/>
        <w:jc w:val="center"/>
        <w:rPr>
          <w:rFonts w:eastAsia="方正小标宋简体"/>
          <w:kern w:val="44"/>
          <w:sz w:val="48"/>
          <w:szCs w:val="48"/>
        </w:rPr>
      </w:pPr>
      <w:r>
        <w:rPr>
          <w:rFonts w:eastAsia="方正小标宋简体"/>
          <w:kern w:val="44"/>
          <w:sz w:val="48"/>
          <w:szCs w:val="48"/>
        </w:rPr>
        <w:t>井研县</w:t>
      </w:r>
    </w:p>
    <w:p w14:paraId="68CEB713">
      <w:pPr>
        <w:widowControl w:val="0"/>
        <w:topLinePunct/>
        <w:adjustRightInd w:val="0"/>
        <w:snapToGrid w:val="0"/>
        <w:spacing w:line="240" w:lineRule="auto"/>
        <w:jc w:val="center"/>
        <w:rPr>
          <w:rFonts w:eastAsia="方正小标宋简体"/>
          <w:kern w:val="44"/>
          <w:sz w:val="48"/>
          <w:szCs w:val="48"/>
        </w:rPr>
      </w:pPr>
      <w:r>
        <w:rPr>
          <w:rFonts w:hint="eastAsia" w:eastAsia="方正小标宋简体"/>
          <w:kern w:val="44"/>
          <w:sz w:val="48"/>
          <w:szCs w:val="48"/>
        </w:rPr>
        <w:t>“</w:t>
      </w:r>
      <w:r>
        <w:rPr>
          <w:rFonts w:eastAsia="方正小标宋简体"/>
          <w:kern w:val="44"/>
          <w:sz w:val="48"/>
          <w:szCs w:val="48"/>
        </w:rPr>
        <w:t>十四五</w:t>
      </w:r>
      <w:r>
        <w:rPr>
          <w:rFonts w:hint="eastAsia" w:eastAsia="方正小标宋简体"/>
          <w:kern w:val="44"/>
          <w:sz w:val="48"/>
          <w:szCs w:val="48"/>
        </w:rPr>
        <w:t>”</w:t>
      </w:r>
      <w:r>
        <w:rPr>
          <w:rFonts w:eastAsia="方正小标宋简体"/>
          <w:kern w:val="44"/>
          <w:sz w:val="48"/>
          <w:szCs w:val="48"/>
        </w:rPr>
        <w:t>生态环境</w:t>
      </w:r>
      <w:r>
        <w:rPr>
          <w:rFonts w:hint="eastAsia" w:eastAsia="方正小标宋简体"/>
          <w:kern w:val="44"/>
          <w:sz w:val="48"/>
          <w:szCs w:val="48"/>
        </w:rPr>
        <w:t>保护规划</w:t>
      </w:r>
    </w:p>
    <w:p w14:paraId="4E6EDDBA"/>
    <w:p w14:paraId="4BC84BD8"/>
    <w:p w14:paraId="16697D32"/>
    <w:p w14:paraId="56BA49D5"/>
    <w:p w14:paraId="0A050D7D"/>
    <w:p w14:paraId="3E89990E"/>
    <w:p w14:paraId="0CCFF520"/>
    <w:p w14:paraId="0689D005"/>
    <w:p w14:paraId="4A3D32BF"/>
    <w:p w14:paraId="49A6DCBE"/>
    <w:p w14:paraId="37BD1BFA"/>
    <w:p w14:paraId="122342C0">
      <w:pPr>
        <w:topLinePunct/>
        <w:adjustRightInd w:val="0"/>
        <w:snapToGrid w:val="0"/>
        <w:spacing w:before="120" w:beforeLines="50" w:line="600" w:lineRule="exact"/>
        <w:jc w:val="center"/>
        <w:rPr>
          <w:rFonts w:eastAsia="楷体_GB2312"/>
          <w:b/>
          <w:kern w:val="44"/>
          <w:sz w:val="32"/>
          <w:szCs w:val="32"/>
          <w:lang w:val="zh-CN"/>
        </w:rPr>
      </w:pPr>
    </w:p>
    <w:p w14:paraId="6B82538F">
      <w:pPr>
        <w:topLinePunct/>
        <w:adjustRightInd w:val="0"/>
        <w:snapToGrid w:val="0"/>
        <w:spacing w:before="120" w:beforeLines="50" w:line="600" w:lineRule="exact"/>
        <w:jc w:val="center"/>
        <w:rPr>
          <w:rFonts w:eastAsia="楷体_GB2312"/>
          <w:b/>
          <w:kern w:val="44"/>
          <w:sz w:val="32"/>
          <w:szCs w:val="32"/>
          <w:lang w:val="zh-CN"/>
        </w:rPr>
      </w:pPr>
    </w:p>
    <w:p w14:paraId="510E3A9B">
      <w:pPr>
        <w:topLinePunct/>
        <w:adjustRightInd w:val="0"/>
        <w:snapToGrid w:val="0"/>
        <w:spacing w:before="120" w:beforeLines="50" w:line="600" w:lineRule="exact"/>
        <w:jc w:val="center"/>
        <w:rPr>
          <w:rFonts w:eastAsia="楷体_GB2312"/>
          <w:b/>
          <w:kern w:val="44"/>
          <w:sz w:val="32"/>
          <w:szCs w:val="32"/>
          <w:lang w:val="zh-CN"/>
        </w:rPr>
      </w:pPr>
    </w:p>
    <w:p w14:paraId="3622CC0A">
      <w:pPr>
        <w:topLinePunct/>
        <w:adjustRightInd w:val="0"/>
        <w:snapToGrid w:val="0"/>
        <w:spacing w:before="120" w:beforeLines="50" w:line="600" w:lineRule="exact"/>
        <w:jc w:val="center"/>
        <w:rPr>
          <w:rFonts w:eastAsia="楷体_GB2312"/>
          <w:b/>
          <w:kern w:val="44"/>
          <w:sz w:val="32"/>
          <w:szCs w:val="32"/>
          <w:lang w:val="zh-CN"/>
        </w:rPr>
      </w:pPr>
    </w:p>
    <w:p w14:paraId="33A04E9C">
      <w:pPr>
        <w:topLinePunct/>
        <w:adjustRightInd w:val="0"/>
        <w:snapToGrid w:val="0"/>
        <w:spacing w:before="120" w:beforeLines="50" w:line="600" w:lineRule="exact"/>
        <w:jc w:val="center"/>
        <w:rPr>
          <w:rFonts w:eastAsia="楷体_GB2312"/>
          <w:b/>
          <w:kern w:val="44"/>
          <w:sz w:val="32"/>
          <w:szCs w:val="32"/>
          <w:lang w:val="zh-CN"/>
        </w:rPr>
      </w:pPr>
    </w:p>
    <w:p w14:paraId="3BAA148A">
      <w:pPr>
        <w:topLinePunct/>
        <w:adjustRightInd w:val="0"/>
        <w:snapToGrid w:val="0"/>
        <w:spacing w:before="120" w:beforeLines="50" w:line="600" w:lineRule="exact"/>
        <w:jc w:val="center"/>
        <w:rPr>
          <w:rFonts w:eastAsia="楷体_GB2312"/>
          <w:b/>
          <w:kern w:val="44"/>
          <w:sz w:val="32"/>
          <w:szCs w:val="32"/>
          <w:lang w:val="zh-CN"/>
        </w:rPr>
      </w:pPr>
      <w:r>
        <w:rPr>
          <w:rFonts w:hint="eastAsia" w:eastAsia="楷体_GB2312"/>
          <w:b/>
          <w:kern w:val="44"/>
          <w:sz w:val="32"/>
          <w:szCs w:val="32"/>
          <w:lang w:val="zh-CN"/>
        </w:rPr>
        <w:t>乐山市井研生态环境局</w:t>
      </w:r>
    </w:p>
    <w:p w14:paraId="320466A9">
      <w:pPr>
        <w:topLinePunct/>
        <w:adjustRightInd w:val="0"/>
        <w:snapToGrid w:val="0"/>
        <w:spacing w:line="600" w:lineRule="exact"/>
        <w:jc w:val="center"/>
        <w:rPr>
          <w:rFonts w:eastAsia="楷体_GB2312"/>
          <w:b/>
          <w:kern w:val="44"/>
          <w:sz w:val="32"/>
          <w:szCs w:val="32"/>
          <w:lang w:val="zh-CN"/>
        </w:rPr>
      </w:pPr>
      <w:r>
        <w:rPr>
          <w:rFonts w:eastAsia="楷体_GB2312"/>
          <w:b/>
          <w:kern w:val="44"/>
          <w:sz w:val="32"/>
          <w:szCs w:val="32"/>
          <w:lang w:val="zh-CN"/>
        </w:rPr>
        <w:t>202</w:t>
      </w:r>
      <w:r>
        <w:rPr>
          <w:rFonts w:hint="eastAsia" w:eastAsia="楷体_GB2312"/>
          <w:b/>
          <w:kern w:val="44"/>
          <w:sz w:val="32"/>
          <w:szCs w:val="32"/>
        </w:rPr>
        <w:t>2</w:t>
      </w:r>
      <w:r>
        <w:rPr>
          <w:rFonts w:hint="eastAsia" w:eastAsia="楷体_GB2312"/>
          <w:b/>
          <w:kern w:val="44"/>
          <w:sz w:val="32"/>
          <w:szCs w:val="32"/>
          <w:lang w:val="zh-CN"/>
        </w:rPr>
        <w:t>年</w:t>
      </w:r>
      <w:r>
        <w:rPr>
          <w:rFonts w:hint="eastAsia" w:eastAsia="楷体_GB2312"/>
          <w:b/>
          <w:kern w:val="44"/>
          <w:sz w:val="32"/>
          <w:szCs w:val="32"/>
        </w:rPr>
        <w:t>9</w:t>
      </w:r>
      <w:r>
        <w:rPr>
          <w:rFonts w:hint="eastAsia" w:eastAsia="楷体_GB2312"/>
          <w:b/>
          <w:kern w:val="44"/>
          <w:sz w:val="32"/>
          <w:szCs w:val="32"/>
          <w:lang w:val="zh-CN"/>
        </w:rPr>
        <w:t>月</w:t>
      </w:r>
    </w:p>
    <w:p w14:paraId="025B4F44">
      <w:pPr>
        <w:spacing w:line="240" w:lineRule="auto"/>
        <w:jc w:val="left"/>
      </w:pPr>
      <w:r>
        <w:br w:type="page"/>
      </w:r>
    </w:p>
    <w:p w14:paraId="1720A12D">
      <w:pPr>
        <w:pStyle w:val="21"/>
        <w:shd w:val="clear" w:color="auto" w:fill="FFFFFF"/>
        <w:spacing w:line="560" w:lineRule="exact"/>
        <w:jc w:val="center"/>
        <w:rPr>
          <w:rFonts w:ascii="Times New Roman" w:hAnsi="方正小标宋简体" w:eastAsia="方正小标宋简体" w:cs="Times New Roman"/>
          <w:b/>
          <w:bCs/>
          <w:sz w:val="44"/>
          <w:szCs w:val="44"/>
        </w:rPr>
      </w:pPr>
    </w:p>
    <w:p w14:paraId="13AF3DFA">
      <w:pPr>
        <w:pStyle w:val="21"/>
        <w:shd w:val="clear" w:color="auto" w:fill="FFFFFF"/>
        <w:spacing w:line="560" w:lineRule="exact"/>
        <w:jc w:val="center"/>
        <w:rPr>
          <w:rFonts w:ascii="Times New Roman" w:hAnsi="方正小标宋简体" w:eastAsia="方正小标宋简体" w:cs="Times New Roman"/>
          <w:b/>
          <w:bCs/>
          <w:sz w:val="44"/>
          <w:szCs w:val="44"/>
        </w:rPr>
      </w:pPr>
      <w:r>
        <w:rPr>
          <w:rFonts w:hint="eastAsia" w:ascii="Times New Roman" w:hAnsi="方正小标宋简体" w:eastAsia="方正小标宋简体" w:cs="Times New Roman"/>
          <w:b/>
          <w:bCs/>
          <w:sz w:val="44"/>
          <w:szCs w:val="44"/>
        </w:rPr>
        <w:t>前 言</w:t>
      </w:r>
    </w:p>
    <w:p w14:paraId="33FA689C">
      <w:pPr>
        <w:spacing w:line="480" w:lineRule="auto"/>
        <w:ind w:firstLine="562" w:firstLineChars="200"/>
        <w:rPr>
          <w:rFonts w:ascii="仿宋" w:hAnsi="仿宋"/>
          <w:b/>
          <w:szCs w:val="28"/>
        </w:rPr>
      </w:pPr>
      <w:r>
        <w:rPr>
          <w:rFonts w:hint="eastAsia" w:ascii="仿宋" w:hAnsi="仿宋"/>
          <w:b/>
          <w:szCs w:val="28"/>
        </w:rPr>
        <w:t>深入贯彻习近平生态文明思想和习近平总书记对四川工作系列重要指示精神，推动井研县生态文明建设取得新进展，在立足新发展阶段、贯彻新发展理念、构建新发展格局的大背景下,根据四川省、乐山市“十四五”生态环境保护规划和井研县国民经济和社会发展第十四个五年规划和二〇三五年远景目标要求基础上，全面总结井研县“十三五”生态环境保护工作实施情况，研究提出“十四五”时期生态环境保护工作的指导思想、主要目标、重点任务和保障措施，制定《井研县“十四五”生态环境保护规划》。</w:t>
      </w:r>
    </w:p>
    <w:p w14:paraId="113A0045">
      <w:pPr>
        <w:spacing w:line="480" w:lineRule="auto"/>
        <w:ind w:firstLine="562" w:firstLineChars="200"/>
        <w:rPr>
          <w:rFonts w:ascii="仿宋" w:hAnsi="仿宋"/>
          <w:b/>
          <w:szCs w:val="28"/>
        </w:rPr>
      </w:pPr>
      <w:r>
        <w:rPr>
          <w:rFonts w:hint="eastAsia" w:ascii="仿宋" w:hAnsi="仿宋"/>
          <w:b/>
          <w:szCs w:val="28"/>
        </w:rPr>
        <w:t>本规划是“十四五”期间统筹推进井研县生态环境保护工作的重要依据。制定相关规划、行动方案、政策措施时应当加强与本规划的衔接，落实本规划的要求。规划期至2025年，远景展望至2035年。</w:t>
      </w:r>
    </w:p>
    <w:p w14:paraId="320763D8">
      <w:pPr>
        <w:spacing w:line="480" w:lineRule="auto"/>
        <w:ind w:firstLine="562" w:firstLineChars="200"/>
        <w:rPr>
          <w:rFonts w:ascii="仿宋" w:hAnsi="仿宋"/>
          <w:b/>
          <w:szCs w:val="28"/>
        </w:rPr>
        <w:sectPr>
          <w:footerReference r:id="rId7" w:type="first"/>
          <w:footerReference r:id="rId5" w:type="default"/>
          <w:footerReference r:id="rId6" w:type="even"/>
          <w:pgSz w:w="11906" w:h="16838"/>
          <w:pgMar w:top="1440" w:right="1800" w:bottom="1440" w:left="1800" w:header="851" w:footer="992" w:gutter="0"/>
          <w:pgNumType w:start="1"/>
          <w:cols w:space="425" w:num="1"/>
          <w:docGrid w:linePitch="312" w:charSpace="0"/>
        </w:sectPr>
      </w:pPr>
    </w:p>
    <w:sdt>
      <w:sdtPr>
        <w:rPr>
          <w:rFonts w:ascii="Times New Roman" w:hAnsi="Times New Roman" w:eastAsia="仿宋" w:cs="Times New Roman"/>
          <w:b w:val="0"/>
          <w:bCs w:val="0"/>
          <w:color w:val="auto"/>
          <w:kern w:val="2"/>
          <w:szCs w:val="20"/>
          <w:lang w:val="zh-CN"/>
        </w:rPr>
        <w:id w:val="15287084"/>
        <w:docPartObj>
          <w:docPartGallery w:val="Table of Contents"/>
          <w:docPartUnique/>
        </w:docPartObj>
      </w:sdtPr>
      <w:sdtEndPr>
        <w:rPr>
          <w:rFonts w:ascii="Times New Roman" w:hAnsi="Times New Roman" w:eastAsia="仿宋" w:cs="Times New Roman"/>
          <w:b w:val="0"/>
          <w:bCs w:val="0"/>
          <w:color w:val="auto"/>
          <w:kern w:val="2"/>
          <w:szCs w:val="20"/>
          <w:lang w:val="en-US"/>
        </w:rPr>
      </w:sdtEndPr>
      <w:sdtContent>
        <w:p w14:paraId="5C14C872">
          <w:pPr>
            <w:pStyle w:val="45"/>
            <w:spacing w:before="0" w:after="120" w:afterLines="50"/>
            <w:rPr>
              <w:color w:val="auto"/>
            </w:rPr>
          </w:pPr>
          <w:r>
            <w:rPr>
              <w:color w:val="auto"/>
              <w:sz w:val="36"/>
              <w:lang w:val="zh-CN"/>
            </w:rPr>
            <w:t>目</w:t>
          </w:r>
          <w:r>
            <w:rPr>
              <w:rFonts w:hint="eastAsia"/>
              <w:color w:val="auto"/>
              <w:sz w:val="36"/>
              <w:lang w:val="zh-CN"/>
            </w:rPr>
            <w:t xml:space="preserve"> </w:t>
          </w:r>
          <w:r>
            <w:rPr>
              <w:color w:val="auto"/>
              <w:sz w:val="36"/>
              <w:lang w:val="zh-CN"/>
            </w:rPr>
            <w:t>录</w:t>
          </w:r>
        </w:p>
        <w:p w14:paraId="2DEBB401">
          <w:pPr>
            <w:pStyle w:val="18"/>
            <w:tabs>
              <w:tab w:val="right" w:leader="dot" w:pos="8296"/>
            </w:tabs>
            <w:rPr>
              <w:rFonts w:asciiTheme="minorHAnsi" w:hAnsiTheme="minorHAnsi" w:eastAsiaTheme="minorEastAsia" w:cstheme="minorBidi"/>
              <w:sz w:val="21"/>
              <w:szCs w:val="22"/>
            </w:rPr>
          </w:pPr>
          <w:r>
            <w:rPr>
              <w:b/>
            </w:rPr>
            <w:fldChar w:fldCharType="begin"/>
          </w:r>
          <w:r>
            <w:rPr>
              <w:b/>
            </w:rPr>
            <w:instrText xml:space="preserve"> TOC \o "1-3" \h \z \u </w:instrText>
          </w:r>
          <w:r>
            <w:rPr>
              <w:b/>
            </w:rPr>
            <w:fldChar w:fldCharType="separate"/>
          </w:r>
          <w:r>
            <w:fldChar w:fldCharType="begin"/>
          </w:r>
          <w:r>
            <w:instrText xml:space="preserve"> HYPERLINK \l "_Toc115020776" </w:instrText>
          </w:r>
          <w:r>
            <w:fldChar w:fldCharType="separate"/>
          </w:r>
          <w:r>
            <w:rPr>
              <w:rStyle w:val="29"/>
              <w:rFonts w:hint="eastAsia"/>
            </w:rPr>
            <w:t>一、</w:t>
          </w:r>
          <w:r>
            <w:rPr>
              <w:rStyle w:val="29"/>
            </w:rPr>
            <w:t xml:space="preserve"> “</w:t>
          </w:r>
          <w:r>
            <w:rPr>
              <w:rStyle w:val="29"/>
              <w:rFonts w:hint="eastAsia"/>
            </w:rPr>
            <w:t>十三五</w:t>
          </w:r>
          <w:r>
            <w:rPr>
              <w:rStyle w:val="29"/>
            </w:rPr>
            <w:t>”</w:t>
          </w:r>
          <w:r>
            <w:rPr>
              <w:rStyle w:val="29"/>
              <w:rFonts w:hint="eastAsia"/>
            </w:rPr>
            <w:t>生态环境保护主要成就</w:t>
          </w:r>
          <w:r>
            <w:tab/>
          </w:r>
          <w:r>
            <w:fldChar w:fldCharType="begin"/>
          </w:r>
          <w:r>
            <w:instrText xml:space="preserve"> PAGEREF _Toc115020776 \h </w:instrText>
          </w:r>
          <w:r>
            <w:fldChar w:fldCharType="separate"/>
          </w:r>
          <w:r>
            <w:t>1</w:t>
          </w:r>
          <w:r>
            <w:fldChar w:fldCharType="end"/>
          </w:r>
          <w:r>
            <w:fldChar w:fldCharType="end"/>
          </w:r>
        </w:p>
        <w:p w14:paraId="1B1CB9F7">
          <w:pPr>
            <w:pStyle w:val="20"/>
            <w:tabs>
              <w:tab w:val="right" w:leader="dot" w:pos="8296"/>
            </w:tabs>
            <w:ind w:left="560"/>
            <w:rPr>
              <w:rFonts w:asciiTheme="minorHAnsi" w:hAnsiTheme="minorHAnsi" w:eastAsiaTheme="minorEastAsia" w:cstheme="minorBidi"/>
              <w:sz w:val="21"/>
              <w:szCs w:val="22"/>
            </w:rPr>
          </w:pPr>
          <w:r>
            <w:fldChar w:fldCharType="begin"/>
          </w:r>
          <w:r>
            <w:instrText xml:space="preserve"> HYPERLINK \l "_Toc115020777" </w:instrText>
          </w:r>
          <w:r>
            <w:fldChar w:fldCharType="separate"/>
          </w:r>
          <w:r>
            <w:rPr>
              <w:rStyle w:val="29"/>
              <w:rFonts w:hint="eastAsia" w:ascii="仿宋" w:hAnsi="仿宋"/>
              <w:lang w:val="zh-CN"/>
            </w:rPr>
            <w:t>（</w:t>
          </w:r>
          <w:r>
            <w:rPr>
              <w:rStyle w:val="29"/>
              <w:rFonts w:hint="eastAsia" w:ascii="仿宋" w:hAnsi="仿宋"/>
            </w:rPr>
            <w:t>一</w:t>
          </w:r>
          <w:r>
            <w:rPr>
              <w:rStyle w:val="29"/>
              <w:rFonts w:hint="eastAsia" w:ascii="仿宋" w:hAnsi="仿宋"/>
              <w:lang w:val="zh-CN"/>
            </w:rPr>
            <w:t>）生态环境保护管理体制逐步建立</w:t>
          </w:r>
          <w:r>
            <w:tab/>
          </w:r>
          <w:r>
            <w:fldChar w:fldCharType="begin"/>
          </w:r>
          <w:r>
            <w:instrText xml:space="preserve"> PAGEREF _Toc115020777 \h </w:instrText>
          </w:r>
          <w:r>
            <w:fldChar w:fldCharType="separate"/>
          </w:r>
          <w:r>
            <w:t>1</w:t>
          </w:r>
          <w:r>
            <w:fldChar w:fldCharType="end"/>
          </w:r>
          <w:r>
            <w:fldChar w:fldCharType="end"/>
          </w:r>
        </w:p>
        <w:p w14:paraId="28EA62AC">
          <w:pPr>
            <w:pStyle w:val="20"/>
            <w:tabs>
              <w:tab w:val="right" w:leader="dot" w:pos="8296"/>
            </w:tabs>
            <w:ind w:left="560"/>
            <w:rPr>
              <w:rFonts w:asciiTheme="minorHAnsi" w:hAnsiTheme="minorHAnsi" w:eastAsiaTheme="minorEastAsia" w:cstheme="minorBidi"/>
              <w:sz w:val="21"/>
              <w:szCs w:val="22"/>
            </w:rPr>
          </w:pPr>
          <w:r>
            <w:fldChar w:fldCharType="begin"/>
          </w:r>
          <w:r>
            <w:instrText xml:space="preserve"> HYPERLINK \l "_Toc115020778" </w:instrText>
          </w:r>
          <w:r>
            <w:fldChar w:fldCharType="separate"/>
          </w:r>
          <w:r>
            <w:rPr>
              <w:rStyle w:val="29"/>
              <w:rFonts w:hint="eastAsia" w:ascii="仿宋" w:hAnsi="仿宋"/>
            </w:rPr>
            <w:t>（二）污染防治攻坚战取得重大进展</w:t>
          </w:r>
          <w:r>
            <w:tab/>
          </w:r>
          <w:r>
            <w:fldChar w:fldCharType="begin"/>
          </w:r>
          <w:r>
            <w:instrText xml:space="preserve"> PAGEREF _Toc115020778 \h </w:instrText>
          </w:r>
          <w:r>
            <w:fldChar w:fldCharType="separate"/>
          </w:r>
          <w:r>
            <w:t>1</w:t>
          </w:r>
          <w:r>
            <w:fldChar w:fldCharType="end"/>
          </w:r>
          <w:r>
            <w:fldChar w:fldCharType="end"/>
          </w:r>
        </w:p>
        <w:p w14:paraId="51E60BC3">
          <w:pPr>
            <w:pStyle w:val="20"/>
            <w:tabs>
              <w:tab w:val="right" w:leader="dot" w:pos="8296"/>
            </w:tabs>
            <w:ind w:left="560"/>
            <w:rPr>
              <w:rFonts w:asciiTheme="minorHAnsi" w:hAnsiTheme="minorHAnsi" w:eastAsiaTheme="minorEastAsia" w:cstheme="minorBidi"/>
              <w:sz w:val="21"/>
              <w:szCs w:val="22"/>
            </w:rPr>
          </w:pPr>
          <w:r>
            <w:fldChar w:fldCharType="begin"/>
          </w:r>
          <w:r>
            <w:instrText xml:space="preserve"> HYPERLINK \l "_Toc115020779" </w:instrText>
          </w:r>
          <w:r>
            <w:fldChar w:fldCharType="separate"/>
          </w:r>
          <w:r>
            <w:rPr>
              <w:rStyle w:val="29"/>
              <w:rFonts w:hint="eastAsia" w:ascii="仿宋" w:hAnsi="仿宋"/>
            </w:rPr>
            <w:t>（三）生态保护成效明显</w:t>
          </w:r>
          <w:r>
            <w:tab/>
          </w:r>
          <w:r>
            <w:fldChar w:fldCharType="begin"/>
          </w:r>
          <w:r>
            <w:instrText xml:space="preserve"> PAGEREF _Toc115020779 \h </w:instrText>
          </w:r>
          <w:r>
            <w:fldChar w:fldCharType="separate"/>
          </w:r>
          <w:r>
            <w:t>3</w:t>
          </w:r>
          <w:r>
            <w:fldChar w:fldCharType="end"/>
          </w:r>
          <w:r>
            <w:fldChar w:fldCharType="end"/>
          </w:r>
        </w:p>
        <w:p w14:paraId="75A417E3">
          <w:pPr>
            <w:pStyle w:val="20"/>
            <w:tabs>
              <w:tab w:val="right" w:leader="dot" w:pos="8296"/>
            </w:tabs>
            <w:ind w:left="560"/>
            <w:rPr>
              <w:rFonts w:asciiTheme="minorHAnsi" w:hAnsiTheme="minorHAnsi" w:eastAsiaTheme="minorEastAsia" w:cstheme="minorBidi"/>
              <w:sz w:val="21"/>
              <w:szCs w:val="22"/>
            </w:rPr>
          </w:pPr>
          <w:r>
            <w:fldChar w:fldCharType="begin"/>
          </w:r>
          <w:r>
            <w:instrText xml:space="preserve"> HYPERLINK \l "_Toc115020780" </w:instrText>
          </w:r>
          <w:r>
            <w:fldChar w:fldCharType="separate"/>
          </w:r>
          <w:r>
            <w:rPr>
              <w:rStyle w:val="29"/>
              <w:rFonts w:hint="eastAsia" w:ascii="仿宋" w:hAnsi="仿宋"/>
            </w:rPr>
            <w:t>（四）人居环境不断改善</w:t>
          </w:r>
          <w:r>
            <w:tab/>
          </w:r>
          <w:r>
            <w:fldChar w:fldCharType="begin"/>
          </w:r>
          <w:r>
            <w:instrText xml:space="preserve"> PAGEREF _Toc115020780 \h </w:instrText>
          </w:r>
          <w:r>
            <w:fldChar w:fldCharType="separate"/>
          </w:r>
          <w:r>
            <w:t>3</w:t>
          </w:r>
          <w:r>
            <w:fldChar w:fldCharType="end"/>
          </w:r>
          <w:r>
            <w:fldChar w:fldCharType="end"/>
          </w:r>
        </w:p>
        <w:p w14:paraId="49B71E0A">
          <w:pPr>
            <w:pStyle w:val="20"/>
            <w:tabs>
              <w:tab w:val="right" w:leader="dot" w:pos="8296"/>
            </w:tabs>
            <w:ind w:left="560"/>
            <w:rPr>
              <w:rFonts w:asciiTheme="minorHAnsi" w:hAnsiTheme="minorHAnsi" w:eastAsiaTheme="minorEastAsia" w:cstheme="minorBidi"/>
              <w:sz w:val="21"/>
              <w:szCs w:val="22"/>
            </w:rPr>
          </w:pPr>
          <w:r>
            <w:fldChar w:fldCharType="begin"/>
          </w:r>
          <w:r>
            <w:instrText xml:space="preserve"> HYPERLINK \l "_Toc115020781" </w:instrText>
          </w:r>
          <w:r>
            <w:fldChar w:fldCharType="separate"/>
          </w:r>
          <w:r>
            <w:rPr>
              <w:rStyle w:val="29"/>
              <w:rFonts w:hint="eastAsia" w:ascii="仿宋" w:hAnsi="仿宋"/>
            </w:rPr>
            <w:t>（五）环境监管严格落实</w:t>
          </w:r>
          <w:r>
            <w:tab/>
          </w:r>
          <w:r>
            <w:fldChar w:fldCharType="begin"/>
          </w:r>
          <w:r>
            <w:instrText xml:space="preserve"> PAGEREF _Toc115020781 \h </w:instrText>
          </w:r>
          <w:r>
            <w:fldChar w:fldCharType="separate"/>
          </w:r>
          <w:r>
            <w:t>4</w:t>
          </w:r>
          <w:r>
            <w:fldChar w:fldCharType="end"/>
          </w:r>
          <w:r>
            <w:fldChar w:fldCharType="end"/>
          </w:r>
        </w:p>
        <w:p w14:paraId="65E48858">
          <w:pPr>
            <w:pStyle w:val="18"/>
            <w:tabs>
              <w:tab w:val="right" w:leader="dot" w:pos="8296"/>
            </w:tabs>
            <w:rPr>
              <w:rFonts w:asciiTheme="minorHAnsi" w:hAnsiTheme="minorHAnsi" w:eastAsiaTheme="minorEastAsia" w:cstheme="minorBidi"/>
              <w:sz w:val="21"/>
              <w:szCs w:val="22"/>
            </w:rPr>
          </w:pPr>
          <w:r>
            <w:fldChar w:fldCharType="begin"/>
          </w:r>
          <w:r>
            <w:instrText xml:space="preserve"> HYPERLINK \l "_Toc115020782" </w:instrText>
          </w:r>
          <w:r>
            <w:fldChar w:fldCharType="separate"/>
          </w:r>
          <w:r>
            <w:rPr>
              <w:rStyle w:val="29"/>
              <w:rFonts w:hint="eastAsia"/>
            </w:rPr>
            <w:t>二、机遇与挑战</w:t>
          </w:r>
          <w:r>
            <w:tab/>
          </w:r>
          <w:r>
            <w:fldChar w:fldCharType="begin"/>
          </w:r>
          <w:r>
            <w:instrText xml:space="preserve"> PAGEREF _Toc115020782 \h </w:instrText>
          </w:r>
          <w:r>
            <w:fldChar w:fldCharType="separate"/>
          </w:r>
          <w:r>
            <w:t>5</w:t>
          </w:r>
          <w:r>
            <w:fldChar w:fldCharType="end"/>
          </w:r>
          <w:r>
            <w:fldChar w:fldCharType="end"/>
          </w:r>
        </w:p>
        <w:p w14:paraId="2593AE67">
          <w:pPr>
            <w:pStyle w:val="20"/>
            <w:tabs>
              <w:tab w:val="right" w:leader="dot" w:pos="8296"/>
            </w:tabs>
            <w:ind w:left="560"/>
            <w:rPr>
              <w:rFonts w:asciiTheme="minorHAnsi" w:hAnsiTheme="minorHAnsi" w:eastAsiaTheme="minorEastAsia" w:cstheme="minorBidi"/>
              <w:sz w:val="21"/>
              <w:szCs w:val="22"/>
            </w:rPr>
          </w:pPr>
          <w:r>
            <w:fldChar w:fldCharType="begin"/>
          </w:r>
          <w:r>
            <w:instrText xml:space="preserve"> HYPERLINK \l "_Toc115020783" </w:instrText>
          </w:r>
          <w:r>
            <w:fldChar w:fldCharType="separate"/>
          </w:r>
          <w:r>
            <w:rPr>
              <w:rStyle w:val="29"/>
              <w:rFonts w:hint="eastAsia" w:ascii="仿宋" w:hAnsi="仿宋"/>
            </w:rPr>
            <w:t>（一）面临机遇</w:t>
          </w:r>
          <w:r>
            <w:tab/>
          </w:r>
          <w:r>
            <w:fldChar w:fldCharType="begin"/>
          </w:r>
          <w:r>
            <w:instrText xml:space="preserve"> PAGEREF _Toc115020783 \h </w:instrText>
          </w:r>
          <w:r>
            <w:fldChar w:fldCharType="separate"/>
          </w:r>
          <w:r>
            <w:t>5</w:t>
          </w:r>
          <w:r>
            <w:fldChar w:fldCharType="end"/>
          </w:r>
          <w:r>
            <w:fldChar w:fldCharType="end"/>
          </w:r>
        </w:p>
        <w:p w14:paraId="7B18C1E8">
          <w:pPr>
            <w:pStyle w:val="20"/>
            <w:tabs>
              <w:tab w:val="right" w:leader="dot" w:pos="8296"/>
            </w:tabs>
            <w:ind w:left="560"/>
            <w:rPr>
              <w:rFonts w:asciiTheme="minorHAnsi" w:hAnsiTheme="minorHAnsi" w:eastAsiaTheme="minorEastAsia" w:cstheme="minorBidi"/>
              <w:sz w:val="21"/>
              <w:szCs w:val="22"/>
            </w:rPr>
          </w:pPr>
          <w:r>
            <w:fldChar w:fldCharType="begin"/>
          </w:r>
          <w:r>
            <w:instrText xml:space="preserve"> HYPERLINK \l "_Toc115020784" </w:instrText>
          </w:r>
          <w:r>
            <w:fldChar w:fldCharType="separate"/>
          </w:r>
          <w:r>
            <w:rPr>
              <w:rStyle w:val="29"/>
              <w:rFonts w:hint="eastAsia" w:ascii="仿宋" w:hAnsi="仿宋"/>
            </w:rPr>
            <w:t>（二）面临的问题与挑战</w:t>
          </w:r>
          <w:r>
            <w:tab/>
          </w:r>
          <w:r>
            <w:fldChar w:fldCharType="begin"/>
          </w:r>
          <w:r>
            <w:instrText xml:space="preserve"> PAGEREF _Toc115020784 \h </w:instrText>
          </w:r>
          <w:r>
            <w:fldChar w:fldCharType="separate"/>
          </w:r>
          <w:r>
            <w:t>6</w:t>
          </w:r>
          <w:r>
            <w:fldChar w:fldCharType="end"/>
          </w:r>
          <w:r>
            <w:fldChar w:fldCharType="end"/>
          </w:r>
        </w:p>
        <w:p w14:paraId="54C96AF5">
          <w:pPr>
            <w:pStyle w:val="18"/>
            <w:tabs>
              <w:tab w:val="right" w:leader="dot" w:pos="8296"/>
            </w:tabs>
            <w:rPr>
              <w:rFonts w:asciiTheme="minorHAnsi" w:hAnsiTheme="minorHAnsi" w:eastAsiaTheme="minorEastAsia" w:cstheme="minorBidi"/>
              <w:sz w:val="21"/>
              <w:szCs w:val="22"/>
            </w:rPr>
          </w:pPr>
          <w:r>
            <w:fldChar w:fldCharType="begin"/>
          </w:r>
          <w:r>
            <w:instrText xml:space="preserve"> HYPERLINK \l "_Toc115020785" </w:instrText>
          </w:r>
          <w:r>
            <w:fldChar w:fldCharType="separate"/>
          </w:r>
          <w:r>
            <w:rPr>
              <w:rStyle w:val="29"/>
              <w:rFonts w:hint="eastAsia"/>
            </w:rPr>
            <w:t>三、总体要求</w:t>
          </w:r>
          <w:r>
            <w:tab/>
          </w:r>
          <w:r>
            <w:fldChar w:fldCharType="begin"/>
          </w:r>
          <w:r>
            <w:instrText xml:space="preserve"> PAGEREF _Toc115020785 \h </w:instrText>
          </w:r>
          <w:r>
            <w:fldChar w:fldCharType="separate"/>
          </w:r>
          <w:r>
            <w:t>7</w:t>
          </w:r>
          <w:r>
            <w:fldChar w:fldCharType="end"/>
          </w:r>
          <w:r>
            <w:fldChar w:fldCharType="end"/>
          </w:r>
        </w:p>
        <w:p w14:paraId="2334A035">
          <w:pPr>
            <w:pStyle w:val="20"/>
            <w:tabs>
              <w:tab w:val="right" w:leader="dot" w:pos="8296"/>
            </w:tabs>
            <w:ind w:left="560"/>
            <w:rPr>
              <w:rFonts w:asciiTheme="minorHAnsi" w:hAnsiTheme="minorHAnsi" w:eastAsiaTheme="minorEastAsia" w:cstheme="minorBidi"/>
              <w:sz w:val="21"/>
              <w:szCs w:val="22"/>
            </w:rPr>
          </w:pPr>
          <w:r>
            <w:fldChar w:fldCharType="begin"/>
          </w:r>
          <w:r>
            <w:instrText xml:space="preserve"> HYPERLINK \l "_Toc115020786" </w:instrText>
          </w:r>
          <w:r>
            <w:fldChar w:fldCharType="separate"/>
          </w:r>
          <w:r>
            <w:rPr>
              <w:rStyle w:val="29"/>
              <w:rFonts w:hint="eastAsia" w:ascii="仿宋" w:hAnsi="仿宋"/>
            </w:rPr>
            <w:t>（一）指导思想</w:t>
          </w:r>
          <w:r>
            <w:tab/>
          </w:r>
          <w:r>
            <w:fldChar w:fldCharType="begin"/>
          </w:r>
          <w:r>
            <w:instrText xml:space="preserve"> PAGEREF _Toc115020786 \h </w:instrText>
          </w:r>
          <w:r>
            <w:fldChar w:fldCharType="separate"/>
          </w:r>
          <w:r>
            <w:t>7</w:t>
          </w:r>
          <w:r>
            <w:fldChar w:fldCharType="end"/>
          </w:r>
          <w:r>
            <w:fldChar w:fldCharType="end"/>
          </w:r>
        </w:p>
        <w:p w14:paraId="6A5A7698">
          <w:pPr>
            <w:pStyle w:val="20"/>
            <w:tabs>
              <w:tab w:val="right" w:leader="dot" w:pos="8296"/>
            </w:tabs>
            <w:ind w:left="560"/>
            <w:rPr>
              <w:rFonts w:asciiTheme="minorHAnsi" w:hAnsiTheme="minorHAnsi" w:eastAsiaTheme="minorEastAsia" w:cstheme="minorBidi"/>
              <w:sz w:val="21"/>
              <w:szCs w:val="22"/>
            </w:rPr>
          </w:pPr>
          <w:r>
            <w:fldChar w:fldCharType="begin"/>
          </w:r>
          <w:r>
            <w:instrText xml:space="preserve"> HYPERLINK \l "_Toc115020787" </w:instrText>
          </w:r>
          <w:r>
            <w:fldChar w:fldCharType="separate"/>
          </w:r>
          <w:r>
            <w:rPr>
              <w:rStyle w:val="29"/>
              <w:rFonts w:hint="eastAsia" w:ascii="仿宋" w:hAnsi="仿宋"/>
            </w:rPr>
            <w:t>（二）规划原则</w:t>
          </w:r>
          <w:r>
            <w:tab/>
          </w:r>
          <w:r>
            <w:fldChar w:fldCharType="begin"/>
          </w:r>
          <w:r>
            <w:instrText xml:space="preserve"> PAGEREF _Toc115020787 \h </w:instrText>
          </w:r>
          <w:r>
            <w:fldChar w:fldCharType="separate"/>
          </w:r>
          <w:r>
            <w:t>8</w:t>
          </w:r>
          <w:r>
            <w:fldChar w:fldCharType="end"/>
          </w:r>
          <w:r>
            <w:fldChar w:fldCharType="end"/>
          </w:r>
        </w:p>
        <w:p w14:paraId="5A96FC4D">
          <w:pPr>
            <w:pStyle w:val="20"/>
            <w:tabs>
              <w:tab w:val="right" w:leader="dot" w:pos="8296"/>
            </w:tabs>
            <w:ind w:left="560"/>
            <w:rPr>
              <w:rFonts w:asciiTheme="minorHAnsi" w:hAnsiTheme="minorHAnsi" w:eastAsiaTheme="minorEastAsia" w:cstheme="minorBidi"/>
              <w:sz w:val="21"/>
              <w:szCs w:val="22"/>
            </w:rPr>
          </w:pPr>
          <w:r>
            <w:fldChar w:fldCharType="begin"/>
          </w:r>
          <w:r>
            <w:instrText xml:space="preserve"> HYPERLINK \l "_Toc115020788" </w:instrText>
          </w:r>
          <w:r>
            <w:fldChar w:fldCharType="separate"/>
          </w:r>
          <w:r>
            <w:rPr>
              <w:rStyle w:val="29"/>
              <w:rFonts w:hint="eastAsia" w:ascii="仿宋" w:hAnsi="仿宋"/>
            </w:rPr>
            <w:t>（三）规划目标</w:t>
          </w:r>
          <w:r>
            <w:tab/>
          </w:r>
          <w:r>
            <w:fldChar w:fldCharType="begin"/>
          </w:r>
          <w:r>
            <w:instrText xml:space="preserve"> PAGEREF _Toc115020788 \h </w:instrText>
          </w:r>
          <w:r>
            <w:fldChar w:fldCharType="separate"/>
          </w:r>
          <w:r>
            <w:t>9</w:t>
          </w:r>
          <w:r>
            <w:fldChar w:fldCharType="end"/>
          </w:r>
          <w:r>
            <w:fldChar w:fldCharType="end"/>
          </w:r>
        </w:p>
        <w:p w14:paraId="7964A345">
          <w:pPr>
            <w:pStyle w:val="18"/>
            <w:tabs>
              <w:tab w:val="right" w:leader="dot" w:pos="8296"/>
            </w:tabs>
            <w:rPr>
              <w:rFonts w:asciiTheme="minorHAnsi" w:hAnsiTheme="minorHAnsi" w:eastAsiaTheme="minorEastAsia" w:cstheme="minorBidi"/>
              <w:sz w:val="21"/>
              <w:szCs w:val="22"/>
            </w:rPr>
          </w:pPr>
          <w:r>
            <w:fldChar w:fldCharType="begin"/>
          </w:r>
          <w:r>
            <w:instrText xml:space="preserve"> HYPERLINK \l "_Toc115020789" </w:instrText>
          </w:r>
          <w:r>
            <w:fldChar w:fldCharType="separate"/>
          </w:r>
          <w:r>
            <w:rPr>
              <w:rStyle w:val="29"/>
              <w:rFonts w:hint="eastAsia"/>
            </w:rPr>
            <w:t>四、主要任务与重点工程</w:t>
          </w:r>
          <w:r>
            <w:tab/>
          </w:r>
          <w:r>
            <w:fldChar w:fldCharType="begin"/>
          </w:r>
          <w:r>
            <w:instrText xml:space="preserve"> PAGEREF _Toc115020789 \h </w:instrText>
          </w:r>
          <w:r>
            <w:fldChar w:fldCharType="separate"/>
          </w:r>
          <w:r>
            <w:t>11</w:t>
          </w:r>
          <w:r>
            <w:fldChar w:fldCharType="end"/>
          </w:r>
          <w:r>
            <w:fldChar w:fldCharType="end"/>
          </w:r>
        </w:p>
        <w:p w14:paraId="6B533630">
          <w:pPr>
            <w:pStyle w:val="20"/>
            <w:tabs>
              <w:tab w:val="right" w:leader="dot" w:pos="8296"/>
            </w:tabs>
            <w:ind w:left="560"/>
            <w:rPr>
              <w:rFonts w:asciiTheme="minorHAnsi" w:hAnsiTheme="minorHAnsi" w:eastAsiaTheme="minorEastAsia" w:cstheme="minorBidi"/>
              <w:sz w:val="21"/>
              <w:szCs w:val="22"/>
            </w:rPr>
          </w:pPr>
          <w:r>
            <w:fldChar w:fldCharType="begin"/>
          </w:r>
          <w:r>
            <w:instrText xml:space="preserve"> HYPERLINK \l "_Toc115020790" </w:instrText>
          </w:r>
          <w:r>
            <w:fldChar w:fldCharType="separate"/>
          </w:r>
          <w:r>
            <w:rPr>
              <w:rStyle w:val="29"/>
              <w:rFonts w:hint="eastAsia" w:ascii="仿宋" w:hAnsi="仿宋"/>
            </w:rPr>
            <w:t>（一）强化生态空间管控</w:t>
          </w:r>
          <w:r>
            <w:tab/>
          </w:r>
          <w:r>
            <w:fldChar w:fldCharType="begin"/>
          </w:r>
          <w:r>
            <w:instrText xml:space="preserve"> PAGEREF _Toc115020790 \h </w:instrText>
          </w:r>
          <w:r>
            <w:fldChar w:fldCharType="separate"/>
          </w:r>
          <w:r>
            <w:t>11</w:t>
          </w:r>
          <w:r>
            <w:fldChar w:fldCharType="end"/>
          </w:r>
          <w:r>
            <w:fldChar w:fldCharType="end"/>
          </w:r>
        </w:p>
        <w:p w14:paraId="4177DAD4">
          <w:pPr>
            <w:pStyle w:val="20"/>
            <w:tabs>
              <w:tab w:val="right" w:leader="dot" w:pos="8296"/>
            </w:tabs>
            <w:ind w:left="560"/>
            <w:rPr>
              <w:rFonts w:asciiTheme="minorHAnsi" w:hAnsiTheme="minorHAnsi" w:eastAsiaTheme="minorEastAsia" w:cstheme="minorBidi"/>
              <w:sz w:val="21"/>
              <w:szCs w:val="22"/>
            </w:rPr>
          </w:pPr>
          <w:r>
            <w:fldChar w:fldCharType="begin"/>
          </w:r>
          <w:r>
            <w:instrText xml:space="preserve"> HYPERLINK \l "_Toc115020791" </w:instrText>
          </w:r>
          <w:r>
            <w:fldChar w:fldCharType="separate"/>
          </w:r>
          <w:r>
            <w:rPr>
              <w:rStyle w:val="29"/>
              <w:rFonts w:hint="eastAsia" w:ascii="仿宋" w:hAnsi="仿宋"/>
            </w:rPr>
            <w:t>（二）统筹生态系统保护</w:t>
          </w:r>
          <w:r>
            <w:tab/>
          </w:r>
          <w:r>
            <w:fldChar w:fldCharType="begin"/>
          </w:r>
          <w:r>
            <w:instrText xml:space="preserve"> PAGEREF _Toc115020791 \h </w:instrText>
          </w:r>
          <w:r>
            <w:fldChar w:fldCharType="separate"/>
          </w:r>
          <w:r>
            <w:t>12</w:t>
          </w:r>
          <w:r>
            <w:fldChar w:fldCharType="end"/>
          </w:r>
          <w:r>
            <w:fldChar w:fldCharType="end"/>
          </w:r>
        </w:p>
        <w:p w14:paraId="6C93EB47">
          <w:pPr>
            <w:pStyle w:val="20"/>
            <w:tabs>
              <w:tab w:val="right" w:leader="dot" w:pos="8296"/>
            </w:tabs>
            <w:ind w:left="560"/>
            <w:rPr>
              <w:rFonts w:asciiTheme="minorHAnsi" w:hAnsiTheme="minorHAnsi" w:eastAsiaTheme="minorEastAsia" w:cstheme="minorBidi"/>
              <w:sz w:val="21"/>
              <w:szCs w:val="22"/>
            </w:rPr>
          </w:pPr>
          <w:r>
            <w:fldChar w:fldCharType="begin"/>
          </w:r>
          <w:r>
            <w:instrText xml:space="preserve"> HYPERLINK \l "_Toc115020792" </w:instrText>
          </w:r>
          <w:r>
            <w:fldChar w:fldCharType="separate"/>
          </w:r>
          <w:r>
            <w:rPr>
              <w:rStyle w:val="29"/>
              <w:rFonts w:hint="eastAsia" w:ascii="仿宋" w:hAnsi="仿宋"/>
            </w:rPr>
            <w:t>（三）积极应对气候变化</w:t>
          </w:r>
          <w:r>
            <w:tab/>
          </w:r>
          <w:r>
            <w:fldChar w:fldCharType="begin"/>
          </w:r>
          <w:r>
            <w:instrText xml:space="preserve"> PAGEREF _Toc115020792 \h </w:instrText>
          </w:r>
          <w:r>
            <w:fldChar w:fldCharType="separate"/>
          </w:r>
          <w:r>
            <w:t>15</w:t>
          </w:r>
          <w:r>
            <w:fldChar w:fldCharType="end"/>
          </w:r>
          <w:r>
            <w:fldChar w:fldCharType="end"/>
          </w:r>
        </w:p>
        <w:p w14:paraId="4B74BADF">
          <w:pPr>
            <w:pStyle w:val="20"/>
            <w:tabs>
              <w:tab w:val="right" w:leader="dot" w:pos="8296"/>
            </w:tabs>
            <w:ind w:left="560"/>
            <w:rPr>
              <w:rFonts w:asciiTheme="minorHAnsi" w:hAnsiTheme="minorHAnsi" w:eastAsiaTheme="minorEastAsia" w:cstheme="minorBidi"/>
              <w:sz w:val="21"/>
              <w:szCs w:val="22"/>
            </w:rPr>
          </w:pPr>
          <w:r>
            <w:fldChar w:fldCharType="begin"/>
          </w:r>
          <w:r>
            <w:instrText xml:space="preserve"> HYPERLINK \l "_Toc115020793" </w:instrText>
          </w:r>
          <w:r>
            <w:fldChar w:fldCharType="separate"/>
          </w:r>
          <w:r>
            <w:rPr>
              <w:rStyle w:val="29"/>
              <w:rFonts w:hint="eastAsia" w:ascii="仿宋" w:hAnsi="仿宋"/>
            </w:rPr>
            <w:t>（四）持续改善环境质量</w:t>
          </w:r>
          <w:r>
            <w:tab/>
          </w:r>
          <w:r>
            <w:fldChar w:fldCharType="begin"/>
          </w:r>
          <w:r>
            <w:instrText xml:space="preserve"> PAGEREF _Toc115020793 \h </w:instrText>
          </w:r>
          <w:r>
            <w:fldChar w:fldCharType="separate"/>
          </w:r>
          <w:r>
            <w:t>16</w:t>
          </w:r>
          <w:r>
            <w:fldChar w:fldCharType="end"/>
          </w:r>
          <w:r>
            <w:fldChar w:fldCharType="end"/>
          </w:r>
        </w:p>
        <w:p w14:paraId="5CC8B253">
          <w:pPr>
            <w:pStyle w:val="20"/>
            <w:tabs>
              <w:tab w:val="right" w:leader="dot" w:pos="8296"/>
            </w:tabs>
            <w:ind w:left="560"/>
            <w:rPr>
              <w:rFonts w:asciiTheme="minorHAnsi" w:hAnsiTheme="minorHAnsi" w:eastAsiaTheme="minorEastAsia" w:cstheme="minorBidi"/>
              <w:sz w:val="21"/>
              <w:szCs w:val="22"/>
            </w:rPr>
          </w:pPr>
          <w:r>
            <w:fldChar w:fldCharType="begin"/>
          </w:r>
          <w:r>
            <w:instrText xml:space="preserve"> HYPERLINK \l "_Toc115020794" </w:instrText>
          </w:r>
          <w:r>
            <w:fldChar w:fldCharType="separate"/>
          </w:r>
          <w:r>
            <w:rPr>
              <w:rStyle w:val="29"/>
              <w:rFonts w:hint="eastAsia" w:ascii="仿宋" w:hAnsi="仿宋"/>
            </w:rPr>
            <w:t>（五）不断提升农村人居环境</w:t>
          </w:r>
          <w:r>
            <w:tab/>
          </w:r>
          <w:r>
            <w:fldChar w:fldCharType="begin"/>
          </w:r>
          <w:r>
            <w:instrText xml:space="preserve"> PAGEREF _Toc115020794 \h </w:instrText>
          </w:r>
          <w:r>
            <w:fldChar w:fldCharType="separate"/>
          </w:r>
          <w:r>
            <w:t>29</w:t>
          </w:r>
          <w:r>
            <w:fldChar w:fldCharType="end"/>
          </w:r>
          <w:r>
            <w:fldChar w:fldCharType="end"/>
          </w:r>
        </w:p>
        <w:p w14:paraId="4C7F991B">
          <w:pPr>
            <w:pStyle w:val="20"/>
            <w:tabs>
              <w:tab w:val="right" w:leader="dot" w:pos="8296"/>
            </w:tabs>
            <w:ind w:left="560"/>
            <w:rPr>
              <w:rFonts w:asciiTheme="minorHAnsi" w:hAnsiTheme="minorHAnsi" w:eastAsiaTheme="minorEastAsia" w:cstheme="minorBidi"/>
              <w:sz w:val="21"/>
              <w:szCs w:val="22"/>
            </w:rPr>
          </w:pPr>
          <w:r>
            <w:fldChar w:fldCharType="begin"/>
          </w:r>
          <w:r>
            <w:instrText xml:space="preserve"> HYPERLINK \l "_Toc115020795" </w:instrText>
          </w:r>
          <w:r>
            <w:fldChar w:fldCharType="separate"/>
          </w:r>
          <w:r>
            <w:rPr>
              <w:rStyle w:val="29"/>
              <w:rFonts w:hint="eastAsia" w:ascii="仿宋" w:hAnsi="仿宋"/>
            </w:rPr>
            <w:t>（六）开展探索“两山”理论新模式</w:t>
          </w:r>
          <w:r>
            <w:tab/>
          </w:r>
          <w:r>
            <w:fldChar w:fldCharType="begin"/>
          </w:r>
          <w:r>
            <w:instrText xml:space="preserve"> PAGEREF _Toc115020795 \h </w:instrText>
          </w:r>
          <w:r>
            <w:fldChar w:fldCharType="separate"/>
          </w:r>
          <w:r>
            <w:t>33</w:t>
          </w:r>
          <w:r>
            <w:fldChar w:fldCharType="end"/>
          </w:r>
          <w:r>
            <w:fldChar w:fldCharType="end"/>
          </w:r>
        </w:p>
        <w:p w14:paraId="38C9EF31">
          <w:pPr>
            <w:pStyle w:val="20"/>
            <w:tabs>
              <w:tab w:val="right" w:leader="dot" w:pos="8296"/>
            </w:tabs>
            <w:ind w:left="560"/>
            <w:rPr>
              <w:rFonts w:asciiTheme="minorHAnsi" w:hAnsiTheme="minorHAnsi" w:eastAsiaTheme="minorEastAsia" w:cstheme="minorBidi"/>
              <w:sz w:val="21"/>
              <w:szCs w:val="22"/>
            </w:rPr>
          </w:pPr>
          <w:r>
            <w:fldChar w:fldCharType="begin"/>
          </w:r>
          <w:r>
            <w:instrText xml:space="preserve"> HYPERLINK \l "_Toc115020796" </w:instrText>
          </w:r>
          <w:r>
            <w:fldChar w:fldCharType="separate"/>
          </w:r>
          <w:r>
            <w:rPr>
              <w:rStyle w:val="29"/>
              <w:rFonts w:hint="eastAsia" w:ascii="仿宋" w:hAnsi="仿宋"/>
            </w:rPr>
            <w:t>（七） 健全风险防控体系</w:t>
          </w:r>
          <w:r>
            <w:tab/>
          </w:r>
          <w:r>
            <w:fldChar w:fldCharType="begin"/>
          </w:r>
          <w:r>
            <w:instrText xml:space="preserve"> PAGEREF _Toc115020796 \h </w:instrText>
          </w:r>
          <w:r>
            <w:fldChar w:fldCharType="separate"/>
          </w:r>
          <w:r>
            <w:t>34</w:t>
          </w:r>
          <w:r>
            <w:fldChar w:fldCharType="end"/>
          </w:r>
          <w:r>
            <w:fldChar w:fldCharType="end"/>
          </w:r>
        </w:p>
        <w:p w14:paraId="4FAC15EB">
          <w:pPr>
            <w:pStyle w:val="20"/>
            <w:tabs>
              <w:tab w:val="right" w:leader="dot" w:pos="8296"/>
            </w:tabs>
            <w:ind w:left="560"/>
            <w:rPr>
              <w:rFonts w:asciiTheme="minorHAnsi" w:hAnsiTheme="minorHAnsi" w:eastAsiaTheme="minorEastAsia" w:cstheme="minorBidi"/>
              <w:sz w:val="21"/>
              <w:szCs w:val="22"/>
            </w:rPr>
          </w:pPr>
          <w:r>
            <w:fldChar w:fldCharType="begin"/>
          </w:r>
          <w:r>
            <w:instrText xml:space="preserve"> HYPERLINK \l "_Toc115020797" </w:instrText>
          </w:r>
          <w:r>
            <w:fldChar w:fldCharType="separate"/>
          </w:r>
          <w:r>
            <w:rPr>
              <w:rStyle w:val="29"/>
              <w:rFonts w:hint="eastAsia" w:ascii="仿宋" w:hAnsi="仿宋"/>
            </w:rPr>
            <w:t>（八） 推进环境治理现代化</w:t>
          </w:r>
          <w:r>
            <w:tab/>
          </w:r>
          <w:r>
            <w:fldChar w:fldCharType="begin"/>
          </w:r>
          <w:r>
            <w:instrText xml:space="preserve"> PAGEREF _Toc115020797 \h </w:instrText>
          </w:r>
          <w:r>
            <w:fldChar w:fldCharType="separate"/>
          </w:r>
          <w:r>
            <w:t>37</w:t>
          </w:r>
          <w:r>
            <w:fldChar w:fldCharType="end"/>
          </w:r>
          <w:r>
            <w:fldChar w:fldCharType="end"/>
          </w:r>
        </w:p>
        <w:p w14:paraId="2F50BEDE">
          <w:pPr>
            <w:pStyle w:val="18"/>
            <w:tabs>
              <w:tab w:val="right" w:leader="dot" w:pos="8296"/>
            </w:tabs>
            <w:rPr>
              <w:rFonts w:asciiTheme="minorHAnsi" w:hAnsiTheme="minorHAnsi" w:eastAsiaTheme="minorEastAsia" w:cstheme="minorBidi"/>
              <w:sz w:val="21"/>
              <w:szCs w:val="22"/>
            </w:rPr>
          </w:pPr>
          <w:r>
            <w:fldChar w:fldCharType="begin"/>
          </w:r>
          <w:r>
            <w:instrText xml:space="preserve"> HYPERLINK \l "_Toc115020798" </w:instrText>
          </w:r>
          <w:r>
            <w:fldChar w:fldCharType="separate"/>
          </w:r>
          <w:r>
            <w:rPr>
              <w:rStyle w:val="29"/>
              <w:rFonts w:hint="eastAsia"/>
            </w:rPr>
            <w:t>五、保障措施</w:t>
          </w:r>
          <w:r>
            <w:tab/>
          </w:r>
          <w:r>
            <w:fldChar w:fldCharType="begin"/>
          </w:r>
          <w:r>
            <w:instrText xml:space="preserve"> PAGEREF _Toc115020798 \h </w:instrText>
          </w:r>
          <w:r>
            <w:fldChar w:fldCharType="separate"/>
          </w:r>
          <w:r>
            <w:t>41</w:t>
          </w:r>
          <w:r>
            <w:fldChar w:fldCharType="end"/>
          </w:r>
          <w:r>
            <w:fldChar w:fldCharType="end"/>
          </w:r>
        </w:p>
        <w:p w14:paraId="43D5749C">
          <w:pPr>
            <w:pStyle w:val="20"/>
            <w:tabs>
              <w:tab w:val="right" w:leader="dot" w:pos="8296"/>
            </w:tabs>
            <w:ind w:left="560"/>
            <w:rPr>
              <w:rFonts w:asciiTheme="minorHAnsi" w:hAnsiTheme="minorHAnsi" w:eastAsiaTheme="minorEastAsia" w:cstheme="minorBidi"/>
              <w:sz w:val="21"/>
              <w:szCs w:val="22"/>
            </w:rPr>
          </w:pPr>
          <w:r>
            <w:fldChar w:fldCharType="begin"/>
          </w:r>
          <w:r>
            <w:instrText xml:space="preserve"> HYPERLINK \l "_Toc115020799" </w:instrText>
          </w:r>
          <w:r>
            <w:fldChar w:fldCharType="separate"/>
          </w:r>
          <w:r>
            <w:rPr>
              <w:rStyle w:val="29"/>
              <w:rFonts w:hint="eastAsia" w:ascii="仿宋" w:hAnsi="仿宋"/>
            </w:rPr>
            <w:t>（一）强化组织领导</w:t>
          </w:r>
          <w:r>
            <w:tab/>
          </w:r>
          <w:r>
            <w:fldChar w:fldCharType="begin"/>
          </w:r>
          <w:r>
            <w:instrText xml:space="preserve"> PAGEREF _Toc115020799 \h </w:instrText>
          </w:r>
          <w:r>
            <w:fldChar w:fldCharType="separate"/>
          </w:r>
          <w:r>
            <w:t>41</w:t>
          </w:r>
          <w:r>
            <w:fldChar w:fldCharType="end"/>
          </w:r>
          <w:r>
            <w:fldChar w:fldCharType="end"/>
          </w:r>
        </w:p>
        <w:p w14:paraId="373A99F2">
          <w:pPr>
            <w:pStyle w:val="20"/>
            <w:tabs>
              <w:tab w:val="right" w:leader="dot" w:pos="8296"/>
            </w:tabs>
            <w:ind w:left="560"/>
            <w:rPr>
              <w:rFonts w:asciiTheme="minorHAnsi" w:hAnsiTheme="minorHAnsi" w:eastAsiaTheme="minorEastAsia" w:cstheme="minorBidi"/>
              <w:sz w:val="21"/>
              <w:szCs w:val="22"/>
            </w:rPr>
          </w:pPr>
          <w:r>
            <w:fldChar w:fldCharType="begin"/>
          </w:r>
          <w:r>
            <w:instrText xml:space="preserve"> HYPERLINK \l "_Toc115020800" </w:instrText>
          </w:r>
          <w:r>
            <w:fldChar w:fldCharType="separate"/>
          </w:r>
          <w:r>
            <w:rPr>
              <w:rStyle w:val="29"/>
              <w:rFonts w:hint="eastAsia" w:ascii="仿宋" w:hAnsi="仿宋"/>
            </w:rPr>
            <w:t>（二）完善制度体系</w:t>
          </w:r>
          <w:r>
            <w:tab/>
          </w:r>
          <w:r>
            <w:fldChar w:fldCharType="begin"/>
          </w:r>
          <w:r>
            <w:instrText xml:space="preserve"> PAGEREF _Toc115020800 \h </w:instrText>
          </w:r>
          <w:r>
            <w:fldChar w:fldCharType="separate"/>
          </w:r>
          <w:r>
            <w:t>41</w:t>
          </w:r>
          <w:r>
            <w:fldChar w:fldCharType="end"/>
          </w:r>
          <w:r>
            <w:fldChar w:fldCharType="end"/>
          </w:r>
        </w:p>
        <w:p w14:paraId="2EF8290E">
          <w:pPr>
            <w:pStyle w:val="20"/>
            <w:tabs>
              <w:tab w:val="right" w:leader="dot" w:pos="8296"/>
            </w:tabs>
            <w:ind w:left="560"/>
            <w:rPr>
              <w:rFonts w:asciiTheme="minorHAnsi" w:hAnsiTheme="minorHAnsi" w:eastAsiaTheme="minorEastAsia" w:cstheme="minorBidi"/>
              <w:sz w:val="21"/>
              <w:szCs w:val="22"/>
            </w:rPr>
          </w:pPr>
          <w:r>
            <w:fldChar w:fldCharType="begin"/>
          </w:r>
          <w:r>
            <w:instrText xml:space="preserve"> HYPERLINK \l "_Toc115020801" </w:instrText>
          </w:r>
          <w:r>
            <w:fldChar w:fldCharType="separate"/>
          </w:r>
          <w:r>
            <w:rPr>
              <w:rStyle w:val="29"/>
              <w:rFonts w:hint="eastAsia" w:ascii="仿宋" w:hAnsi="仿宋"/>
            </w:rPr>
            <w:t>（三）加强资金保障</w:t>
          </w:r>
          <w:r>
            <w:tab/>
          </w:r>
          <w:r>
            <w:fldChar w:fldCharType="begin"/>
          </w:r>
          <w:r>
            <w:instrText xml:space="preserve"> PAGEREF _Toc115020801 \h </w:instrText>
          </w:r>
          <w:r>
            <w:fldChar w:fldCharType="separate"/>
          </w:r>
          <w:r>
            <w:t>42</w:t>
          </w:r>
          <w:r>
            <w:fldChar w:fldCharType="end"/>
          </w:r>
          <w:r>
            <w:fldChar w:fldCharType="end"/>
          </w:r>
        </w:p>
        <w:p w14:paraId="486246DC">
          <w:pPr>
            <w:pStyle w:val="20"/>
            <w:tabs>
              <w:tab w:val="right" w:leader="dot" w:pos="8296"/>
            </w:tabs>
            <w:ind w:left="560"/>
            <w:rPr>
              <w:rFonts w:asciiTheme="minorHAnsi" w:hAnsiTheme="minorHAnsi" w:eastAsiaTheme="minorEastAsia" w:cstheme="minorBidi"/>
              <w:sz w:val="21"/>
              <w:szCs w:val="22"/>
            </w:rPr>
          </w:pPr>
          <w:r>
            <w:fldChar w:fldCharType="begin"/>
          </w:r>
          <w:r>
            <w:instrText xml:space="preserve"> HYPERLINK \l "_Toc115020802" </w:instrText>
          </w:r>
          <w:r>
            <w:fldChar w:fldCharType="separate"/>
          </w:r>
          <w:r>
            <w:rPr>
              <w:rStyle w:val="29"/>
              <w:rFonts w:hint="eastAsia" w:ascii="仿宋" w:hAnsi="仿宋"/>
            </w:rPr>
            <w:t>（四）强化实施监督</w:t>
          </w:r>
          <w:r>
            <w:tab/>
          </w:r>
          <w:r>
            <w:fldChar w:fldCharType="begin"/>
          </w:r>
          <w:r>
            <w:instrText xml:space="preserve"> PAGEREF _Toc115020802 \h </w:instrText>
          </w:r>
          <w:r>
            <w:fldChar w:fldCharType="separate"/>
          </w:r>
          <w:r>
            <w:t>43</w:t>
          </w:r>
          <w:r>
            <w:fldChar w:fldCharType="end"/>
          </w:r>
          <w:r>
            <w:fldChar w:fldCharType="end"/>
          </w:r>
        </w:p>
        <w:p w14:paraId="0472032F">
          <w:pPr>
            <w:pStyle w:val="20"/>
            <w:tabs>
              <w:tab w:val="right" w:leader="dot" w:pos="8296"/>
            </w:tabs>
            <w:ind w:left="560"/>
            <w:rPr>
              <w:rFonts w:asciiTheme="minorHAnsi" w:hAnsiTheme="minorHAnsi" w:eastAsiaTheme="minorEastAsia" w:cstheme="minorBidi"/>
              <w:sz w:val="21"/>
              <w:szCs w:val="22"/>
            </w:rPr>
          </w:pPr>
          <w:r>
            <w:fldChar w:fldCharType="begin"/>
          </w:r>
          <w:r>
            <w:instrText xml:space="preserve"> HYPERLINK \l "_Toc115020803" </w:instrText>
          </w:r>
          <w:r>
            <w:fldChar w:fldCharType="separate"/>
          </w:r>
          <w:r>
            <w:rPr>
              <w:rStyle w:val="29"/>
              <w:rFonts w:hint="eastAsia" w:ascii="仿宋" w:hAnsi="仿宋"/>
            </w:rPr>
            <w:t>（五）加强区域合作</w:t>
          </w:r>
          <w:r>
            <w:tab/>
          </w:r>
          <w:r>
            <w:fldChar w:fldCharType="begin"/>
          </w:r>
          <w:r>
            <w:instrText xml:space="preserve"> PAGEREF _Toc115020803 \h </w:instrText>
          </w:r>
          <w:r>
            <w:fldChar w:fldCharType="separate"/>
          </w:r>
          <w:r>
            <w:t>44</w:t>
          </w:r>
          <w:r>
            <w:fldChar w:fldCharType="end"/>
          </w:r>
          <w:r>
            <w:fldChar w:fldCharType="end"/>
          </w:r>
        </w:p>
        <w:p w14:paraId="1684171E">
          <w:pPr>
            <w:rPr>
              <w:b/>
            </w:rPr>
          </w:pPr>
          <w:r>
            <w:fldChar w:fldCharType="end"/>
          </w:r>
        </w:p>
      </w:sdtContent>
    </w:sdt>
    <w:p w14:paraId="1DA31B98">
      <w:pPr>
        <w:spacing w:line="560" w:lineRule="exact"/>
        <w:jc w:val="center"/>
        <w:rPr>
          <w:rFonts w:ascii="仿宋" w:hAnsi="仿宋" w:cs="黑体"/>
          <w:sz w:val="44"/>
          <w:szCs w:val="44"/>
        </w:rPr>
      </w:pPr>
    </w:p>
    <w:p w14:paraId="09B43BEF">
      <w:pPr>
        <w:spacing w:line="560" w:lineRule="exact"/>
        <w:jc w:val="center"/>
        <w:rPr>
          <w:rFonts w:ascii="仿宋" w:hAnsi="仿宋" w:cs="黑体"/>
          <w:sz w:val="44"/>
          <w:szCs w:val="44"/>
        </w:rPr>
        <w:sectPr>
          <w:footerReference r:id="rId8" w:type="default"/>
          <w:pgSz w:w="11906" w:h="16838"/>
          <w:pgMar w:top="1440" w:right="1800" w:bottom="1440" w:left="1800" w:header="851" w:footer="992" w:gutter="0"/>
          <w:pgNumType w:start="1"/>
          <w:cols w:space="425" w:num="1"/>
          <w:docGrid w:linePitch="312" w:charSpace="0"/>
        </w:sectPr>
      </w:pPr>
    </w:p>
    <w:p w14:paraId="3DF39C87">
      <w:pPr>
        <w:pStyle w:val="4"/>
        <w:numPr>
          <w:ilvl w:val="0"/>
          <w:numId w:val="1"/>
        </w:numPr>
        <w:jc w:val="left"/>
        <w:rPr>
          <w:sz w:val="32"/>
        </w:rPr>
      </w:pPr>
      <w:bookmarkStart w:id="0" w:name="_Toc115020776"/>
      <w:r>
        <w:rPr>
          <w:sz w:val="32"/>
        </w:rPr>
        <w:t>“十三五”</w:t>
      </w:r>
      <w:r>
        <w:rPr>
          <w:rFonts w:hint="eastAsia"/>
          <w:sz w:val="32"/>
        </w:rPr>
        <w:t>生态环境保护</w:t>
      </w:r>
      <w:r>
        <w:rPr>
          <w:sz w:val="32"/>
        </w:rPr>
        <w:t>主要成就</w:t>
      </w:r>
      <w:bookmarkEnd w:id="0"/>
    </w:p>
    <w:p w14:paraId="3E2F3D14">
      <w:pPr>
        <w:pStyle w:val="5"/>
        <w:spacing w:before="0" w:after="0" w:line="240" w:lineRule="auto"/>
        <w:ind w:firstLine="602" w:firstLineChars="200"/>
        <w:rPr>
          <w:rFonts w:ascii="仿宋" w:hAnsi="仿宋" w:eastAsia="仿宋"/>
          <w:lang w:val="zh-CN"/>
        </w:rPr>
      </w:pPr>
      <w:bookmarkStart w:id="1" w:name="_Toc115020777"/>
      <w:r>
        <w:rPr>
          <w:rFonts w:hint="eastAsia" w:ascii="仿宋" w:hAnsi="仿宋" w:eastAsia="仿宋"/>
          <w:lang w:val="zh-CN"/>
        </w:rPr>
        <w:t>（</w:t>
      </w:r>
      <w:r>
        <w:rPr>
          <w:rFonts w:hint="eastAsia" w:ascii="仿宋" w:hAnsi="仿宋" w:eastAsia="仿宋"/>
        </w:rPr>
        <w:t>一</w:t>
      </w:r>
      <w:r>
        <w:rPr>
          <w:rFonts w:hint="eastAsia" w:ascii="仿宋" w:hAnsi="仿宋" w:eastAsia="仿宋"/>
          <w:lang w:val="zh-CN"/>
        </w:rPr>
        <w:t>）生态环境保护管理体制逐步建立</w:t>
      </w:r>
      <w:bookmarkEnd w:id="1"/>
    </w:p>
    <w:p w14:paraId="6842F984">
      <w:pPr>
        <w:ind w:firstLine="560" w:firstLineChars="200"/>
        <w:rPr>
          <w:rFonts w:eastAsia="宋体"/>
          <w:szCs w:val="28"/>
          <w:lang w:val="zh-CN"/>
        </w:rPr>
      </w:pPr>
      <w:bookmarkStart w:id="2" w:name="_Toc18076576"/>
      <w:r>
        <w:rPr>
          <w:rFonts w:hint="eastAsia" w:eastAsia="宋体"/>
          <w:szCs w:val="28"/>
          <w:lang w:val="zh-CN"/>
        </w:rPr>
        <w:t>近年来，县委、县政府坚持以习近平新时代中国特色社会主义思想为指导，深入贯彻党的十九大精神、习近平生态文明思想和习近平总书记对四川工作系列重要指示精神，全面落实中央、省、</w:t>
      </w:r>
      <w:r>
        <w:rPr>
          <w:rFonts w:hint="eastAsia" w:eastAsia="宋体"/>
          <w:szCs w:val="28"/>
        </w:rPr>
        <w:t>市</w:t>
      </w:r>
      <w:r>
        <w:rPr>
          <w:rFonts w:hint="eastAsia" w:eastAsia="宋体"/>
          <w:szCs w:val="28"/>
          <w:lang w:val="zh-CN"/>
        </w:rPr>
        <w:t>关于生态文明建设和生态环境保护的决策部署。成立了以县委书记、县长为主要负责人的</w:t>
      </w:r>
      <w:r>
        <w:rPr>
          <w:rFonts w:hint="eastAsia" w:eastAsia="宋体"/>
          <w:szCs w:val="28"/>
        </w:rPr>
        <w:t>井研县</w:t>
      </w:r>
      <w:r>
        <w:rPr>
          <w:rFonts w:hint="eastAsia" w:eastAsia="宋体"/>
          <w:szCs w:val="28"/>
          <w:lang w:val="zh-CN"/>
        </w:rPr>
        <w:t>生态环境保护委员会、“三大战役”领导小组、中央环境保护督察领导小组，有力地加强了全县生态环境保护工作的领导。</w:t>
      </w:r>
      <w:r>
        <w:rPr>
          <w:rFonts w:hint="eastAsia" w:eastAsia="宋体"/>
          <w:szCs w:val="28"/>
        </w:rPr>
        <w:t>坚持环保工作“一岗双责”、“党政</w:t>
      </w:r>
      <w:r>
        <w:rPr>
          <w:rFonts w:hint="eastAsia" w:eastAsia="宋体"/>
          <w:szCs w:val="28"/>
          <w:lang w:val="zh-CN"/>
        </w:rPr>
        <w:t>同责”和“管行业必须管环保，管生产必须管环保，管发展必须管环保”基本原则，制定《</w:t>
      </w:r>
      <w:r>
        <w:rPr>
          <w:rFonts w:hint="eastAsia" w:eastAsia="宋体"/>
          <w:szCs w:val="28"/>
        </w:rPr>
        <w:t>井研县</w:t>
      </w:r>
      <w:r>
        <w:rPr>
          <w:rFonts w:hint="eastAsia" w:eastAsia="宋体"/>
          <w:szCs w:val="28"/>
          <w:lang w:val="zh-CN"/>
        </w:rPr>
        <w:t>生态环境保护工作职责分工细化方案》，建立健全生态环境保护责任制，落实生态环境保护责任。每年县政府与各乡（镇）人民政府、县级各部门签订《</w:t>
      </w:r>
      <w:r>
        <w:rPr>
          <w:rFonts w:hint="eastAsia" w:eastAsia="宋体"/>
          <w:szCs w:val="28"/>
        </w:rPr>
        <w:t>井研县</w:t>
      </w:r>
      <w:r>
        <w:rPr>
          <w:rFonts w:hint="eastAsia" w:eastAsia="宋体"/>
          <w:szCs w:val="28"/>
          <w:lang w:val="zh-CN"/>
        </w:rPr>
        <w:t>环境保护目标责任书》，把生态文明建设和生态环境保护纳入年度绩效考评重要内容。出台《</w:t>
      </w:r>
      <w:r>
        <w:rPr>
          <w:rFonts w:hint="eastAsia" w:eastAsia="宋体"/>
          <w:szCs w:val="28"/>
        </w:rPr>
        <w:t>井研县</w:t>
      </w:r>
      <w:r>
        <w:rPr>
          <w:rFonts w:hint="eastAsia" w:eastAsia="宋体"/>
          <w:szCs w:val="28"/>
          <w:lang w:val="zh-CN"/>
        </w:rPr>
        <w:t>水污染防治行动计划》、</w:t>
      </w:r>
      <w:r>
        <w:rPr>
          <w:rFonts w:hint="eastAsia" w:eastAsia="宋体"/>
          <w:szCs w:val="28"/>
        </w:rPr>
        <w:t>《井研县打赢蓝天保卫战实施计划》、《土壤污染防治行动计划井研县工作方案》</w:t>
      </w:r>
      <w:r>
        <w:rPr>
          <w:rFonts w:hint="eastAsia" w:eastAsia="宋体"/>
          <w:szCs w:val="28"/>
          <w:lang w:val="zh-CN"/>
        </w:rPr>
        <w:t>等工作方案，不断夯实生态环保工作基础。</w:t>
      </w:r>
    </w:p>
    <w:bookmarkEnd w:id="2"/>
    <w:p w14:paraId="66A7A24C">
      <w:pPr>
        <w:pStyle w:val="5"/>
        <w:spacing w:before="0" w:after="0" w:line="240" w:lineRule="auto"/>
        <w:ind w:firstLine="602" w:firstLineChars="200"/>
        <w:rPr>
          <w:rFonts w:ascii="仿宋" w:hAnsi="仿宋" w:eastAsia="仿宋"/>
        </w:rPr>
      </w:pPr>
      <w:bookmarkStart w:id="3" w:name="_Toc115020778"/>
      <w:r>
        <w:rPr>
          <w:rFonts w:ascii="仿宋" w:hAnsi="仿宋" w:eastAsia="仿宋"/>
        </w:rPr>
        <w:t>（</w:t>
      </w:r>
      <w:r>
        <w:rPr>
          <w:rFonts w:hint="eastAsia" w:ascii="仿宋" w:hAnsi="仿宋" w:eastAsia="仿宋"/>
        </w:rPr>
        <w:t>二</w:t>
      </w:r>
      <w:r>
        <w:rPr>
          <w:rFonts w:ascii="仿宋" w:hAnsi="仿宋" w:eastAsia="仿宋"/>
        </w:rPr>
        <w:t>）污染防治</w:t>
      </w:r>
      <w:r>
        <w:rPr>
          <w:rFonts w:hint="eastAsia" w:ascii="仿宋" w:hAnsi="仿宋" w:eastAsia="仿宋"/>
        </w:rPr>
        <w:t>攻坚战取得重大进展</w:t>
      </w:r>
      <w:bookmarkEnd w:id="3"/>
    </w:p>
    <w:p w14:paraId="20D376B3">
      <w:pPr>
        <w:pStyle w:val="2"/>
        <w:ind w:left="0" w:leftChars="0" w:firstLine="703" w:firstLineChars="250"/>
        <w:rPr>
          <w:rFonts w:eastAsia="宋体"/>
          <w:szCs w:val="28"/>
        </w:rPr>
      </w:pPr>
      <w:r>
        <w:rPr>
          <w:rFonts w:hint="eastAsia" w:eastAsia="宋体"/>
          <w:b/>
          <w:szCs w:val="28"/>
        </w:rPr>
        <w:t>大力开展水污染治理。</w:t>
      </w:r>
      <w:r>
        <w:rPr>
          <w:rFonts w:hint="eastAsia" w:eastAsia="宋体"/>
          <w:szCs w:val="28"/>
        </w:rPr>
        <w:t>在全省率先推行河长制，常态化开展河湖“清四乱”专项行动，完成茫溪河、磨池河干流沿岸220个入河排污口、泥溪河20个入河排污口整治。实施磨池河宝五段、泥溪河、沱江流域井研段河道生态治理和茫溪河流域综合治理工程，完成茫溪河4座拦河坝改造、24.5公里河道疏浚、5公里河道原位生态修复。全面禁止承包水库、拦河围堰等行为，取缔拦河养鱼，依法收回47座水库承包经营权。大力实施茫溪河、磨池河、泥溪河、沱江流域内重点乡镇、农村集中居住点污水处理设施建设。拆除茫溪河沿岸养鸭场94家、禁养区畜禽养殖场146家，建成3家区域性粪污集中处理中心，改造120家规模养殖场治污设施。建成水产养殖尾水治理试点项目4个、绿色生态养殖示范场2个。启动岷茫水系连通工程建设，建成茫溪河补水暨生态湿地工程。2020年，茫溪河出境断面水质由劣Ⅴ类改善为Ⅳ类，磨池河、泥溪河水质持续改善。</w:t>
      </w:r>
    </w:p>
    <w:p w14:paraId="23453A8E">
      <w:pPr>
        <w:pStyle w:val="2"/>
        <w:spacing w:after="0"/>
        <w:ind w:left="0" w:leftChars="0" w:firstLine="562"/>
        <w:rPr>
          <w:rFonts w:eastAsia="宋体"/>
          <w:szCs w:val="28"/>
        </w:rPr>
      </w:pPr>
      <w:r>
        <w:rPr>
          <w:rFonts w:hint="eastAsia" w:eastAsia="宋体"/>
          <w:b/>
          <w:szCs w:val="28"/>
        </w:rPr>
        <w:t>持续改善环境空气质量。</w:t>
      </w:r>
      <w:r>
        <w:rPr>
          <w:rFonts w:hint="eastAsia" w:eastAsia="宋体"/>
          <w:szCs w:val="28"/>
        </w:rPr>
        <w:t>制定实施《大气污染防治行动计划》年度实施方案、《打赢蓝天保卫战三年行动计划》，分类整治“散乱污”企业122户，积极推动燃煤削减，“十三五”期间单位GDP能耗下降2.5％以上。大力推进大气面源治理工作，强化建筑工地、渣土车运输及道路扬尘管理，加强秸秆综合利用，建成覆盖7个镇（街道）的秸秆焚烧可视化监管系统。2020年空气质量优良率达88.5％，井研县城区PM</w:t>
      </w:r>
      <w:r>
        <w:rPr>
          <w:rFonts w:hint="eastAsia" w:eastAsia="宋体"/>
          <w:szCs w:val="28"/>
          <w:vertAlign w:val="subscript"/>
        </w:rPr>
        <w:t>2.5</w:t>
      </w:r>
      <w:r>
        <w:rPr>
          <w:rFonts w:hint="eastAsia" w:eastAsia="宋体"/>
          <w:szCs w:val="28"/>
        </w:rPr>
        <w:t>浓度为32.8μg/m</w:t>
      </w:r>
      <w:r>
        <w:rPr>
          <w:rFonts w:hint="eastAsia" w:eastAsia="宋体"/>
          <w:szCs w:val="28"/>
          <w:vertAlign w:val="superscript"/>
        </w:rPr>
        <w:t>3</w:t>
      </w:r>
      <w:r>
        <w:rPr>
          <w:rFonts w:hint="eastAsia" w:eastAsia="宋体"/>
          <w:szCs w:val="28"/>
        </w:rPr>
        <w:t>，首次达国家二级标准。</w:t>
      </w:r>
    </w:p>
    <w:p w14:paraId="4D87153F">
      <w:pPr>
        <w:ind w:firstLine="562" w:firstLineChars="200"/>
        <w:rPr>
          <w:rFonts w:eastAsia="宋体"/>
          <w:szCs w:val="28"/>
        </w:rPr>
      </w:pPr>
      <w:r>
        <w:rPr>
          <w:rFonts w:hint="eastAsia" w:eastAsia="宋体"/>
          <w:b/>
          <w:szCs w:val="28"/>
        </w:rPr>
        <w:t>稳步推进净土行动。</w:t>
      </w:r>
      <w:r>
        <w:rPr>
          <w:rFonts w:hint="eastAsia" w:eastAsia="宋体"/>
          <w:szCs w:val="28"/>
        </w:rPr>
        <w:t>制定并实施《土壤污染防治行动计划井研县工作方案》，深入开展土壤污染状况调查工作，累计完成306个农用地土壤污染状况详查和18家重点行业企业用地土壤污染状况调查。大力开展受污染耕地安全利用工作，采取农耕农艺调控和钝化修复方式，实现受污染耕地安全利用。开展研城镇等5个乡镇临时垃圾堆放点的整治。督促10家固体废物堆存场所不规范的工业企业进行整改。强化危险废物规范化管理，完成32个公立医疗卫生机构及25家工业危险废物单位危废暂存场所规范化建设，确保危险废物依法规范化处置。 “十三五”以来，全县土壤环境质量保持稳定，未发生因耕地土壤污染导致农产品质量超标且造成不良社会影响的事件，未发生因疑似污染地块再开发利用不当且造成不良社会影响事件，土壤环境质量较好，基本农田土壤环境质量保持相对稳定。</w:t>
      </w:r>
    </w:p>
    <w:p w14:paraId="13AE30D0">
      <w:pPr>
        <w:pStyle w:val="5"/>
        <w:spacing w:before="0" w:after="0"/>
        <w:ind w:firstLine="602" w:firstLineChars="200"/>
        <w:rPr>
          <w:rFonts w:ascii="仿宋" w:hAnsi="仿宋" w:eastAsia="仿宋"/>
        </w:rPr>
      </w:pPr>
      <w:bookmarkStart w:id="4" w:name="_Toc115020779"/>
      <w:r>
        <w:rPr>
          <w:rFonts w:hint="eastAsia" w:ascii="仿宋" w:hAnsi="仿宋" w:eastAsia="仿宋"/>
        </w:rPr>
        <w:t>（三）生态保护成效明显</w:t>
      </w:r>
      <w:bookmarkEnd w:id="4"/>
    </w:p>
    <w:p w14:paraId="3E70741F">
      <w:pPr>
        <w:adjustRightInd w:val="0"/>
        <w:snapToGrid w:val="0"/>
        <w:ind w:firstLine="562" w:firstLineChars="200"/>
        <w:rPr>
          <w:rFonts w:eastAsia="宋体"/>
          <w:szCs w:val="28"/>
        </w:rPr>
      </w:pPr>
      <w:r>
        <w:rPr>
          <w:rFonts w:hint="eastAsia" w:eastAsia="宋体"/>
          <w:b/>
          <w:bCs/>
          <w:szCs w:val="28"/>
        </w:rPr>
        <w:t>大力推进生态空间优化。</w:t>
      </w:r>
      <w:r>
        <w:rPr>
          <w:rFonts w:hint="eastAsia" w:eastAsia="宋体"/>
          <w:szCs w:val="28"/>
        </w:rPr>
        <w:t>将提供重要生态系统服务的区域规划为生态空间，主要包括河湖水面、北部镇阳镇和周坡镇地形起伏较大区域，划定面积97.26平方公里，占全域总面积11.58%。</w:t>
      </w:r>
    </w:p>
    <w:p w14:paraId="19FE611C">
      <w:pPr>
        <w:adjustRightInd w:val="0"/>
        <w:snapToGrid w:val="0"/>
        <w:ind w:firstLine="562" w:firstLineChars="200"/>
        <w:rPr>
          <w:rFonts w:eastAsia="宋体"/>
          <w:szCs w:val="28"/>
        </w:rPr>
      </w:pPr>
      <w:r>
        <w:rPr>
          <w:rFonts w:hint="eastAsia" w:eastAsia="宋体"/>
          <w:b/>
          <w:szCs w:val="28"/>
        </w:rPr>
        <w:t>深入开展“绿秀井研”行动。</w:t>
      </w:r>
      <w:r>
        <w:rPr>
          <w:rFonts w:hint="eastAsia" w:eastAsia="宋体"/>
          <w:szCs w:val="28"/>
        </w:rPr>
        <w:t>五年植树造林4.5万亩，</w:t>
      </w:r>
      <w:r>
        <w:rPr>
          <w:rFonts w:eastAsia="宋体"/>
          <w:szCs w:val="28"/>
        </w:rPr>
        <w:t>森林覆盖率达42.06%，绿化覆盖率达70.4%</w:t>
      </w:r>
      <w:r>
        <w:rPr>
          <w:rFonts w:hint="eastAsia" w:eastAsia="宋体"/>
          <w:szCs w:val="28"/>
        </w:rPr>
        <w:t>，被坪为</w:t>
      </w:r>
      <w:r>
        <w:rPr>
          <w:rFonts w:eastAsia="宋体"/>
          <w:szCs w:val="28"/>
        </w:rPr>
        <w:t>“省级第二批森林质量精准提升样板林基地”</w:t>
      </w:r>
      <w:r>
        <w:rPr>
          <w:rFonts w:hint="eastAsia" w:eastAsia="宋体"/>
          <w:szCs w:val="28"/>
        </w:rPr>
        <w:t>项目县、</w:t>
      </w:r>
      <w:r>
        <w:rPr>
          <w:rFonts w:eastAsia="宋体"/>
          <w:szCs w:val="28"/>
        </w:rPr>
        <w:t>全国绿化先进集体和四川省现代林业重点县</w:t>
      </w:r>
      <w:r>
        <w:rPr>
          <w:rFonts w:hint="eastAsia" w:eastAsia="宋体"/>
          <w:szCs w:val="28"/>
        </w:rPr>
        <w:t>。深入实施美丽竹风景线建设，</w:t>
      </w:r>
      <w:r>
        <w:rPr>
          <w:rFonts w:eastAsia="宋体"/>
          <w:szCs w:val="28"/>
        </w:rPr>
        <w:t>完成</w:t>
      </w:r>
      <w:r>
        <w:rPr>
          <w:rFonts w:hint="eastAsia" w:eastAsia="宋体"/>
          <w:szCs w:val="28"/>
        </w:rPr>
        <w:t>国道213线、省道305线、井沙联网及乐井路井研段、乐山竹园烈士纪念园省道305线等竹林风景线建设项目</w:t>
      </w:r>
      <w:r>
        <w:rPr>
          <w:rFonts w:eastAsia="宋体"/>
          <w:szCs w:val="28"/>
        </w:rPr>
        <w:t>，启动门坎镇400万元省级竹产业示范基地建设项目</w:t>
      </w:r>
      <w:r>
        <w:rPr>
          <w:rFonts w:hint="eastAsia" w:eastAsia="宋体"/>
          <w:szCs w:val="28"/>
        </w:rPr>
        <w:t>。井沙联网竹林大道、国道348线竹马竹林大道获评首批省级翠竹长廊。深入开展森林防火专项治理工作，完善制度，加强</w:t>
      </w:r>
      <w:r>
        <w:rPr>
          <w:rFonts w:eastAsia="宋体"/>
          <w:szCs w:val="28"/>
        </w:rPr>
        <w:t>预测预防</w:t>
      </w:r>
      <w:r>
        <w:rPr>
          <w:rFonts w:hint="eastAsia" w:eastAsia="宋体"/>
          <w:szCs w:val="28"/>
        </w:rPr>
        <w:t>和演练，补充扑火物资，</w:t>
      </w:r>
      <w:r>
        <w:rPr>
          <w:rFonts w:eastAsia="宋体"/>
          <w:szCs w:val="28"/>
        </w:rPr>
        <w:t>实现连续55年全县无重大森林火灾发生。</w:t>
      </w:r>
    </w:p>
    <w:p w14:paraId="43481B36">
      <w:pPr>
        <w:pStyle w:val="5"/>
        <w:spacing w:before="0" w:after="0" w:line="240" w:lineRule="auto"/>
        <w:ind w:firstLine="602" w:firstLineChars="200"/>
        <w:rPr>
          <w:rFonts w:ascii="仿宋" w:hAnsi="仿宋" w:eastAsia="仿宋"/>
        </w:rPr>
      </w:pPr>
      <w:bookmarkStart w:id="5" w:name="_Toc68131388"/>
      <w:bookmarkStart w:id="6" w:name="_Toc43478226"/>
      <w:bookmarkStart w:id="7" w:name="_Toc68131283"/>
      <w:bookmarkStart w:id="8" w:name="_Toc86050188"/>
      <w:bookmarkStart w:id="9" w:name="_Toc115020780"/>
      <w:r>
        <w:rPr>
          <w:rFonts w:hint="eastAsia" w:ascii="仿宋" w:hAnsi="仿宋" w:eastAsia="仿宋"/>
        </w:rPr>
        <w:t>（四）人居环境</w:t>
      </w:r>
      <w:bookmarkEnd w:id="5"/>
      <w:bookmarkEnd w:id="6"/>
      <w:bookmarkEnd w:id="7"/>
      <w:bookmarkEnd w:id="8"/>
      <w:r>
        <w:rPr>
          <w:rFonts w:hint="eastAsia" w:ascii="仿宋" w:hAnsi="仿宋" w:eastAsia="仿宋"/>
        </w:rPr>
        <w:t>不断改善</w:t>
      </w:r>
      <w:bookmarkEnd w:id="9"/>
    </w:p>
    <w:p w14:paraId="381CAB00">
      <w:pPr>
        <w:adjustRightInd w:val="0"/>
        <w:snapToGrid w:val="0"/>
        <w:ind w:firstLine="560" w:firstLineChars="200"/>
        <w:rPr>
          <w:rFonts w:eastAsia="宋体"/>
          <w:szCs w:val="28"/>
        </w:rPr>
      </w:pPr>
      <w:r>
        <w:rPr>
          <w:rFonts w:hint="eastAsia" w:eastAsia="宋体"/>
          <w:szCs w:val="28"/>
        </w:rPr>
        <w:t>建成县城区第二生活污水处理厂和18座集镇生活污水处理站，在全市率先实现城镇生活污水处理全覆盖。新（改）建公共厕所273座，实施“厕污共治”2．2万余户，建成120个农村微动力污水处理设施。建成“户分类、村收集、镇转运、县（乐山市）处理”城乡垃圾一体化处理模式，配套6座垃圾中转站，全县生活垃圾无害化处理率达到95% 。深入开展“四清四拆”“清洁乡村”行动，建成“美丽井研•宜居乡村”91个、市级以上美丽幸福村44个。建成省级乡村振兴先进镇1个、示范村6个，成功创建为市级实施乡村振兴战略先进县，集益镇获评全国乡村治理示范镇、研经镇王家沟村获评全国乡村治理示范村，三青台休闲渔业公园、集益晚熟柑橘农业公园获评省级示范农业主题公园。建成全市首个城市生态湿地公园（ “山彩水蓝、画意井研”的研溪湿地），配套建设茫溪河治理展览馆，将水文化与历史文化有机融合。</w:t>
      </w:r>
    </w:p>
    <w:p w14:paraId="17BF243B">
      <w:pPr>
        <w:pStyle w:val="5"/>
        <w:spacing w:before="0" w:after="0" w:line="240" w:lineRule="auto"/>
        <w:ind w:firstLine="602" w:firstLineChars="200"/>
        <w:rPr>
          <w:rFonts w:ascii="仿宋" w:hAnsi="仿宋" w:eastAsia="仿宋"/>
        </w:rPr>
      </w:pPr>
      <w:bookmarkStart w:id="10" w:name="_Toc115020781"/>
      <w:r>
        <w:rPr>
          <w:rFonts w:ascii="仿宋" w:hAnsi="仿宋" w:eastAsia="仿宋"/>
        </w:rPr>
        <w:t>（</w:t>
      </w:r>
      <w:r>
        <w:rPr>
          <w:rFonts w:hint="eastAsia" w:ascii="仿宋" w:hAnsi="仿宋" w:eastAsia="仿宋"/>
        </w:rPr>
        <w:t>五</w:t>
      </w:r>
      <w:r>
        <w:rPr>
          <w:rFonts w:ascii="仿宋" w:hAnsi="仿宋" w:eastAsia="仿宋"/>
        </w:rPr>
        <w:t>）环境监管</w:t>
      </w:r>
      <w:r>
        <w:rPr>
          <w:rFonts w:hint="eastAsia" w:ascii="仿宋" w:hAnsi="仿宋" w:eastAsia="仿宋"/>
        </w:rPr>
        <w:t>严格</w:t>
      </w:r>
      <w:r>
        <w:rPr>
          <w:rFonts w:ascii="仿宋" w:hAnsi="仿宋" w:eastAsia="仿宋"/>
        </w:rPr>
        <w:t>落实</w:t>
      </w:r>
      <w:bookmarkEnd w:id="10"/>
    </w:p>
    <w:p w14:paraId="1E697523">
      <w:pPr>
        <w:ind w:right="-123" w:rightChars="-44" w:firstLine="562" w:firstLineChars="200"/>
        <w:rPr>
          <w:rFonts w:eastAsia="宋体"/>
          <w:szCs w:val="28"/>
        </w:rPr>
      </w:pPr>
      <w:r>
        <w:rPr>
          <w:rFonts w:hint="eastAsia" w:eastAsia="宋体"/>
          <w:b/>
          <w:bCs/>
          <w:szCs w:val="28"/>
        </w:rPr>
        <w:t>严格把控审批环评</w:t>
      </w:r>
      <w:r>
        <w:rPr>
          <w:rFonts w:eastAsia="宋体"/>
          <w:b/>
          <w:bCs/>
          <w:szCs w:val="28"/>
        </w:rPr>
        <w:t>。</w:t>
      </w:r>
      <w:r>
        <w:rPr>
          <w:rFonts w:eastAsia="宋体"/>
          <w:szCs w:val="28"/>
        </w:rPr>
        <w:t>紧扣“三线一单”要求，</w:t>
      </w:r>
      <w:r>
        <w:rPr>
          <w:rFonts w:hint="eastAsia" w:eastAsia="宋体"/>
          <w:szCs w:val="28"/>
        </w:rPr>
        <w:t>全面落实建设项目环境影响评价和“三同时”制度，严把审批关、验收关，坚决从源头上控制污染，有效建立公开、公平、公正的环境管理审批程序。2020年受理审批环境评价影响报告表18个，环境影响登记表备案登记132个，并在县政府网站进行了公示，目前已建、新建、改（扩）建项目环评执行率达到100%。完成120个行业468家固定污染源排污许可登记核发工作，并开展排污许可“回头看”，确保实现排污许可全覆盖。</w:t>
      </w:r>
    </w:p>
    <w:p w14:paraId="014F3008">
      <w:pPr>
        <w:ind w:firstLine="562" w:firstLineChars="200"/>
        <w:rPr>
          <w:rFonts w:eastAsia="宋体"/>
          <w:szCs w:val="28"/>
        </w:rPr>
      </w:pPr>
      <w:r>
        <w:rPr>
          <w:rFonts w:eastAsia="宋体"/>
          <w:b/>
          <w:bCs/>
          <w:szCs w:val="28"/>
        </w:rPr>
        <w:t>环保</w:t>
      </w:r>
      <w:r>
        <w:rPr>
          <w:rFonts w:hint="eastAsia" w:eastAsia="宋体"/>
          <w:b/>
          <w:bCs/>
          <w:szCs w:val="28"/>
        </w:rPr>
        <w:t>监管</w:t>
      </w:r>
      <w:r>
        <w:rPr>
          <w:rFonts w:eastAsia="宋体"/>
          <w:b/>
          <w:bCs/>
          <w:szCs w:val="28"/>
        </w:rPr>
        <w:t>更加完善。</w:t>
      </w:r>
      <w:r>
        <w:rPr>
          <w:rFonts w:hint="eastAsia" w:eastAsia="宋体"/>
          <w:szCs w:val="28"/>
        </w:rPr>
        <w:t>深入推进环境执法“双随机”，每年开展整治违法排污企业和危险废物规范化管理专项行动，严厉打击违法行为，关闭、停产、处罚了一批环境违法企业，整改了一批突出环境污染隐患企业。2020年共现场检查企业320余次，做到检查有记录、有整改意见、有处理结果；查处环境违法行为13起，罚款金额45.2万元；开展移动执法应用工作，对228家企业开展双随机检查，落实环境网格监管人员592名。切实提升应急处置能力，井研县人民政府印发了《井研县突发环境事件应急预案》。</w:t>
      </w:r>
    </w:p>
    <w:p w14:paraId="7F8FE340">
      <w:pPr>
        <w:ind w:right="-123" w:rightChars="-44" w:firstLine="562" w:firstLineChars="200"/>
        <w:rPr>
          <w:rFonts w:eastAsia="宋体"/>
          <w:szCs w:val="28"/>
        </w:rPr>
      </w:pPr>
      <w:r>
        <w:rPr>
          <w:rFonts w:eastAsia="宋体"/>
          <w:b/>
          <w:bCs/>
          <w:szCs w:val="28"/>
        </w:rPr>
        <w:t>环保督察工作有序推进。</w:t>
      </w:r>
      <w:r>
        <w:rPr>
          <w:rFonts w:hint="eastAsia" w:eastAsia="宋体"/>
          <w:szCs w:val="28"/>
        </w:rPr>
        <w:t>压紧压实环境保护责任制，综合运用会议、督查、通报、交办、约谈等各种措施传导压力，检查采取明查暗访相结合、定期巡查不定期抽查相结合、日常检查与节日、夜间突击检查相结合的方式开展。督促企业加快治理进度，完善污染防治设施的运行和管理，扎实推进中央环保督察、长江经济带生态环境突出问题整改、省级环保督察、市级排查等整改落实工作。第一轮中央环保督察共涉及22项整改任务，目前已全部整改完成。省生态环境保护督察移交问题34个，目前已完成整改33个，剩余1个（茫溪河污染问题）为长期性整改问题，目前正在整改中。</w:t>
      </w:r>
    </w:p>
    <w:p w14:paraId="60175275">
      <w:pPr>
        <w:pStyle w:val="4"/>
        <w:jc w:val="left"/>
        <w:rPr>
          <w:sz w:val="32"/>
        </w:rPr>
      </w:pPr>
      <w:bookmarkStart w:id="11" w:name="_Toc115020782"/>
      <w:r>
        <w:rPr>
          <w:rFonts w:hint="eastAsia"/>
          <w:sz w:val="32"/>
        </w:rPr>
        <w:t>二</w:t>
      </w:r>
      <w:r>
        <w:rPr>
          <w:sz w:val="32"/>
        </w:rPr>
        <w:t>、机遇与挑战</w:t>
      </w:r>
      <w:bookmarkEnd w:id="11"/>
    </w:p>
    <w:p w14:paraId="2F820E17">
      <w:pPr>
        <w:pStyle w:val="5"/>
        <w:spacing w:before="0" w:after="0" w:line="240" w:lineRule="auto"/>
        <w:ind w:firstLine="602" w:firstLineChars="200"/>
        <w:rPr>
          <w:rFonts w:ascii="仿宋" w:hAnsi="仿宋" w:eastAsia="仿宋"/>
        </w:rPr>
      </w:pPr>
      <w:bookmarkStart w:id="12" w:name="_Toc115020783"/>
      <w:r>
        <w:rPr>
          <w:rFonts w:ascii="仿宋" w:hAnsi="仿宋" w:eastAsia="仿宋"/>
        </w:rPr>
        <w:t>（一）面临机遇</w:t>
      </w:r>
      <w:bookmarkEnd w:id="12"/>
    </w:p>
    <w:p w14:paraId="24CB489C">
      <w:pPr>
        <w:pStyle w:val="51"/>
        <w:spacing w:line="240" w:lineRule="auto"/>
        <w:ind w:firstLine="562"/>
        <w:rPr>
          <w:rFonts w:asciiTheme="majorEastAsia" w:hAnsiTheme="majorEastAsia" w:eastAsiaTheme="majorEastAsia"/>
          <w:b/>
          <w:bCs/>
          <w:sz w:val="28"/>
          <w:szCs w:val="28"/>
        </w:rPr>
      </w:pPr>
      <w:r>
        <w:rPr>
          <w:rFonts w:hint="eastAsia" w:asciiTheme="majorEastAsia" w:hAnsiTheme="majorEastAsia" w:eastAsiaTheme="majorEastAsia"/>
          <w:b/>
          <w:sz w:val="28"/>
          <w:szCs w:val="28"/>
        </w:rPr>
        <w:t>1、习近平</w:t>
      </w:r>
      <w:r>
        <w:rPr>
          <w:rFonts w:asciiTheme="majorEastAsia" w:hAnsiTheme="majorEastAsia" w:eastAsiaTheme="majorEastAsia"/>
          <w:b/>
          <w:sz w:val="28"/>
          <w:szCs w:val="28"/>
        </w:rPr>
        <w:t>生态文明思想</w:t>
      </w:r>
      <w:r>
        <w:rPr>
          <w:rFonts w:hint="eastAsia" w:asciiTheme="majorEastAsia" w:hAnsiTheme="majorEastAsia" w:eastAsiaTheme="majorEastAsia"/>
          <w:b/>
          <w:sz w:val="28"/>
          <w:szCs w:val="28"/>
        </w:rPr>
        <w:t>为</w:t>
      </w:r>
      <w:r>
        <w:rPr>
          <w:rFonts w:asciiTheme="majorEastAsia" w:hAnsiTheme="majorEastAsia" w:eastAsiaTheme="majorEastAsia"/>
          <w:b/>
          <w:sz w:val="28"/>
          <w:szCs w:val="28"/>
        </w:rPr>
        <w:t>生态环境保护工作</w:t>
      </w:r>
      <w:r>
        <w:rPr>
          <w:rFonts w:hint="eastAsia" w:asciiTheme="majorEastAsia" w:hAnsiTheme="majorEastAsia" w:eastAsiaTheme="majorEastAsia"/>
          <w:b/>
          <w:sz w:val="28"/>
          <w:szCs w:val="28"/>
        </w:rPr>
        <w:t>提供</w:t>
      </w:r>
      <w:r>
        <w:rPr>
          <w:rFonts w:asciiTheme="majorEastAsia" w:hAnsiTheme="majorEastAsia" w:eastAsiaTheme="majorEastAsia"/>
          <w:b/>
          <w:sz w:val="28"/>
          <w:szCs w:val="28"/>
        </w:rPr>
        <w:t>指引</w:t>
      </w:r>
    </w:p>
    <w:p w14:paraId="13C74738">
      <w:pPr>
        <w:adjustRightInd w:val="0"/>
        <w:snapToGrid w:val="0"/>
        <w:ind w:firstLine="560" w:firstLineChars="200"/>
        <w:rPr>
          <w:rFonts w:eastAsia="宋体"/>
          <w:szCs w:val="28"/>
        </w:rPr>
      </w:pPr>
      <w:r>
        <w:rPr>
          <w:rFonts w:hint="eastAsia" w:eastAsia="宋体"/>
          <w:szCs w:val="28"/>
        </w:rPr>
        <w:t>党的十八大把生态文明建设作为统筹推进“五位一体”总体布局，</w:t>
      </w:r>
      <w:r>
        <w:rPr>
          <w:rFonts w:eastAsia="宋体"/>
          <w:szCs w:val="28"/>
        </w:rPr>
        <w:t>生态文明</w:t>
      </w:r>
      <w:r>
        <w:rPr>
          <w:rFonts w:hint="eastAsia" w:eastAsia="宋体"/>
          <w:szCs w:val="28"/>
        </w:rPr>
        <w:t>建设</w:t>
      </w:r>
      <w:r>
        <w:rPr>
          <w:rFonts w:eastAsia="宋体"/>
          <w:szCs w:val="28"/>
        </w:rPr>
        <w:t>成为党的执政理念和国家建设方略的重要组成部分</w:t>
      </w:r>
      <w:r>
        <w:rPr>
          <w:rFonts w:hint="eastAsia" w:eastAsia="宋体"/>
          <w:szCs w:val="28"/>
        </w:rPr>
        <w:t>。十九大更</w:t>
      </w:r>
      <w:r>
        <w:rPr>
          <w:rFonts w:eastAsia="宋体"/>
          <w:szCs w:val="28"/>
        </w:rPr>
        <w:t>进一步</w:t>
      </w:r>
      <w:r>
        <w:rPr>
          <w:rFonts w:hint="eastAsia" w:eastAsia="宋体"/>
          <w:szCs w:val="28"/>
        </w:rPr>
        <w:t>把“增强‘绿水青山就是金山银山’的意识”等内容写入党章，强调加快推进生态文明制度体系建设，要实行最严格的生态环境保护制度，健全生态保护和修复制度，同时</w:t>
      </w:r>
      <w:r>
        <w:rPr>
          <w:rFonts w:eastAsia="宋体"/>
          <w:szCs w:val="28"/>
        </w:rPr>
        <w:t>也明确</w:t>
      </w:r>
      <w:r>
        <w:rPr>
          <w:rFonts w:hint="eastAsia" w:eastAsia="宋体"/>
          <w:szCs w:val="28"/>
        </w:rPr>
        <w:t>提出</w:t>
      </w:r>
      <w:r>
        <w:rPr>
          <w:rFonts w:eastAsia="宋体"/>
          <w:szCs w:val="28"/>
        </w:rPr>
        <w:t>“</w:t>
      </w:r>
      <w:r>
        <w:rPr>
          <w:rFonts w:hint="eastAsia" w:eastAsia="宋体"/>
          <w:szCs w:val="28"/>
        </w:rPr>
        <w:t>十四五</w:t>
      </w:r>
      <w:r>
        <w:rPr>
          <w:rFonts w:eastAsia="宋体"/>
          <w:szCs w:val="28"/>
        </w:rPr>
        <w:t>”</w:t>
      </w:r>
      <w:r>
        <w:rPr>
          <w:rFonts w:hint="eastAsia" w:eastAsia="宋体"/>
          <w:szCs w:val="28"/>
        </w:rPr>
        <w:t>期间</w:t>
      </w:r>
      <w:r>
        <w:rPr>
          <w:rFonts w:eastAsia="宋体"/>
          <w:szCs w:val="28"/>
        </w:rPr>
        <w:t>，“</w:t>
      </w:r>
      <w:r>
        <w:rPr>
          <w:rFonts w:hint="eastAsia" w:eastAsia="宋体"/>
          <w:szCs w:val="28"/>
        </w:rPr>
        <w:t>生态文明建设实现新进步，国土空间开发保护格局得到优化，生产生活方式绿色转型成效显著，能源资源配置更加合理、利用效率大幅提高，主要污染物排放总量持续减少，生态环境持续改善，生态安全屏障更加牢固，城乡人居环境明显改善</w:t>
      </w:r>
      <w:r>
        <w:rPr>
          <w:rFonts w:eastAsia="宋体"/>
          <w:szCs w:val="28"/>
        </w:rPr>
        <w:t>”</w:t>
      </w:r>
      <w:r>
        <w:rPr>
          <w:rFonts w:hint="eastAsia" w:eastAsia="宋体"/>
          <w:szCs w:val="28"/>
        </w:rPr>
        <w:t>，表明当前我国生态文明建设工作的重心已经从污染防治为主转为污染防治、生态保护与修复并重，这为“十四五”期间全面开展自然生态保护工作提供了坚实的政治保障。</w:t>
      </w:r>
    </w:p>
    <w:p w14:paraId="5F19372C">
      <w:pPr>
        <w:pStyle w:val="51"/>
        <w:spacing w:line="360" w:lineRule="auto"/>
        <w:ind w:firstLine="562"/>
        <w:rPr>
          <w:rFonts w:asciiTheme="majorEastAsia" w:hAnsiTheme="majorEastAsia" w:eastAsiaTheme="majorEastAsia"/>
          <w:b/>
          <w:sz w:val="28"/>
          <w:szCs w:val="28"/>
        </w:rPr>
      </w:pPr>
      <w:r>
        <w:rPr>
          <w:rFonts w:hint="eastAsia" w:asciiTheme="majorEastAsia" w:hAnsiTheme="majorEastAsia" w:eastAsiaTheme="majorEastAsia"/>
          <w:b/>
          <w:sz w:val="28"/>
          <w:szCs w:val="28"/>
        </w:rPr>
        <w:t>2、区域重大发展战略为</w:t>
      </w:r>
      <w:r>
        <w:rPr>
          <w:rFonts w:asciiTheme="majorEastAsia" w:hAnsiTheme="majorEastAsia" w:eastAsiaTheme="majorEastAsia"/>
          <w:b/>
          <w:sz w:val="28"/>
          <w:szCs w:val="28"/>
        </w:rPr>
        <w:t>生态环境保护工作提供新</w:t>
      </w:r>
      <w:r>
        <w:rPr>
          <w:rFonts w:hint="eastAsia" w:asciiTheme="majorEastAsia" w:hAnsiTheme="majorEastAsia" w:eastAsiaTheme="majorEastAsia"/>
          <w:b/>
          <w:sz w:val="28"/>
          <w:szCs w:val="28"/>
        </w:rPr>
        <w:t>机遇</w:t>
      </w:r>
    </w:p>
    <w:p w14:paraId="3C0F5478">
      <w:pPr>
        <w:snapToGrid w:val="0"/>
        <w:ind w:firstLine="560" w:firstLineChars="200"/>
        <w:rPr>
          <w:rFonts w:eastAsia="宋体"/>
          <w:szCs w:val="28"/>
        </w:rPr>
      </w:pPr>
      <w:r>
        <w:rPr>
          <w:rFonts w:hint="eastAsia" w:eastAsia="宋体"/>
          <w:szCs w:val="28"/>
        </w:rPr>
        <w:t>在实现“两个一百年”奋斗目标的历史交汇点上，党中央构建新发展格局的重大决策为井研县生态文明建设和生态环境保护指明了前进方向。国家新一轮西部大开发、“一带一路”、长江经济带、成渝地区双城经济圈建设等发展战略，尤其是推动产业升级、新型城镇化、乡村振兴等一系列重大规划和方针政策，为井研县立足县情，发挥自身生态环境优势，加快产业转型、补齐短板、补强弱项，融入双循环新发展格局提供了良好机遇。</w:t>
      </w:r>
    </w:p>
    <w:p w14:paraId="4359D045">
      <w:pPr>
        <w:snapToGrid w:val="0"/>
        <w:ind w:firstLine="560" w:firstLineChars="200"/>
        <w:rPr>
          <w:rFonts w:eastAsia="宋体"/>
          <w:szCs w:val="28"/>
        </w:rPr>
      </w:pPr>
      <w:r>
        <w:rPr>
          <w:rFonts w:hint="eastAsia" w:eastAsia="宋体"/>
          <w:szCs w:val="28"/>
        </w:rPr>
        <w:t>省委深化拓展“一干多支、五区协同”战略部署；市委围绕“一极一地一市一城一枢纽”战略目标，加快建设生态文明示范市等省、市重大部署以及县委高质量推进 “乡村振兴示范县、成渝产业配套区、绿色生态宜居城、全域旅游增长极”建设，将进一步加深井研县生态底色，为全县生态环境保护工作提供新动能。</w:t>
      </w:r>
    </w:p>
    <w:p w14:paraId="4C6D8583">
      <w:pPr>
        <w:pStyle w:val="5"/>
        <w:spacing w:before="0" w:after="0" w:line="240" w:lineRule="auto"/>
        <w:ind w:firstLine="602" w:firstLineChars="200"/>
        <w:rPr>
          <w:rFonts w:ascii="仿宋" w:hAnsi="仿宋" w:eastAsia="仿宋"/>
        </w:rPr>
      </w:pPr>
      <w:bookmarkStart w:id="13" w:name="_Toc115020784"/>
      <w:r>
        <w:rPr>
          <w:rFonts w:ascii="仿宋" w:hAnsi="仿宋" w:eastAsia="仿宋"/>
        </w:rPr>
        <w:t>（二）面临</w:t>
      </w:r>
      <w:r>
        <w:rPr>
          <w:rFonts w:hint="eastAsia" w:ascii="仿宋" w:hAnsi="仿宋" w:eastAsia="仿宋"/>
        </w:rPr>
        <w:t>的问题与</w:t>
      </w:r>
      <w:r>
        <w:rPr>
          <w:rFonts w:ascii="仿宋" w:hAnsi="仿宋" w:eastAsia="仿宋"/>
        </w:rPr>
        <w:t>挑战</w:t>
      </w:r>
      <w:bookmarkEnd w:id="13"/>
    </w:p>
    <w:p w14:paraId="433D7AE9">
      <w:pPr>
        <w:ind w:firstLine="562" w:firstLineChars="200"/>
        <w:rPr>
          <w:rFonts w:eastAsia="宋体"/>
          <w:szCs w:val="28"/>
        </w:rPr>
      </w:pPr>
      <w:r>
        <w:rPr>
          <w:rFonts w:hint="eastAsia" w:eastAsia="宋体"/>
          <w:b/>
          <w:szCs w:val="28"/>
        </w:rPr>
        <w:t>流域污染治理依旧严峻。</w:t>
      </w:r>
      <w:r>
        <w:rPr>
          <w:rFonts w:hint="eastAsia" w:eastAsia="宋体"/>
          <w:szCs w:val="28"/>
        </w:rPr>
        <w:t>2</w:t>
      </w:r>
      <w:r>
        <w:rPr>
          <w:rFonts w:eastAsia="宋体"/>
          <w:szCs w:val="28"/>
        </w:rPr>
        <w:t>020年</w:t>
      </w:r>
      <w:r>
        <w:rPr>
          <w:rFonts w:hint="eastAsia" w:eastAsia="宋体"/>
          <w:szCs w:val="28"/>
        </w:rPr>
        <w:t>茫溪河总体评价为Ⅳ类水质，泥溪河总体评价为</w:t>
      </w:r>
      <w:r>
        <w:rPr>
          <w:rFonts w:eastAsia="宋体"/>
          <w:szCs w:val="28"/>
        </w:rPr>
        <w:t>V类</w:t>
      </w:r>
      <w:r>
        <w:rPr>
          <w:rFonts w:hint="eastAsia" w:eastAsia="宋体"/>
          <w:szCs w:val="28"/>
        </w:rPr>
        <w:t>水质，磨池河总体评价为劣Ⅴ类水质。茫溪河、泥溪河、泥溪河源头水量小、水源不足，水体自净能力较差，后续水环境保护和污染治理仍需大力加强。全县虽实现城镇污水处理设施全覆盖，但配套管网存在破损，部分区域未实施雨污分流，污水收集率不高，污水处理设施运行管理水平较低。农村生活污水处理资金缺口大，污水处理设施建设滞后，农村污水存在直排问题。流域内畜禽养殖、水产养殖密度大，存在</w:t>
      </w:r>
      <w:r>
        <w:rPr>
          <w:rFonts w:eastAsia="宋体"/>
          <w:szCs w:val="28"/>
        </w:rPr>
        <w:t>养殖方式粗放、养殖尾水超标直排、投入品使用不规范等问题</w:t>
      </w:r>
      <w:r>
        <w:rPr>
          <w:rFonts w:hint="eastAsia" w:eastAsia="宋体"/>
          <w:szCs w:val="28"/>
        </w:rPr>
        <w:t>，污染管控难，农业面源污染防治水平低。</w:t>
      </w:r>
    </w:p>
    <w:p w14:paraId="23FC786A">
      <w:pPr>
        <w:pStyle w:val="2"/>
        <w:adjustRightInd w:val="0"/>
        <w:snapToGrid w:val="0"/>
        <w:spacing w:after="0" w:line="560" w:lineRule="exact"/>
        <w:ind w:left="0" w:leftChars="0" w:firstLine="562"/>
        <w:rPr>
          <w:rFonts w:eastAsia="宋体"/>
          <w:szCs w:val="28"/>
        </w:rPr>
      </w:pPr>
      <w:r>
        <w:rPr>
          <w:rFonts w:hint="eastAsia" w:asciiTheme="majorEastAsia" w:hAnsiTheme="majorEastAsia" w:eastAsiaTheme="majorEastAsia"/>
          <w:b/>
          <w:szCs w:val="28"/>
        </w:rPr>
        <w:t>大气环境质量持续改善压力大。</w:t>
      </w:r>
      <w:r>
        <w:rPr>
          <w:rFonts w:hint="eastAsia" w:eastAsia="宋体"/>
          <w:szCs w:val="28"/>
        </w:rPr>
        <w:t>2020年细颗粒物浓度首次达到国家二级标准，进一步提升难度大。臭氧污染的抬头趋势凸显，“十三五”期间，井研县臭氧污染呈现较大幅度上升，影响优良天数目标任务完成。细颗粒物与臭氧协同控制压力大，挥发性有机物治理能力薄弱，实现全面稳定达标的形势依然严峻。</w:t>
      </w:r>
    </w:p>
    <w:p w14:paraId="55B64707">
      <w:pPr>
        <w:numPr>
          <w:ilvl w:val="255"/>
          <w:numId w:val="0"/>
        </w:numPr>
        <w:spacing w:line="560" w:lineRule="exact"/>
        <w:ind w:firstLine="562" w:firstLineChars="200"/>
        <w:rPr>
          <w:rFonts w:eastAsia="宋体"/>
          <w:szCs w:val="28"/>
        </w:rPr>
      </w:pPr>
      <w:r>
        <w:rPr>
          <w:rFonts w:hint="eastAsia" w:asciiTheme="majorEastAsia" w:hAnsiTheme="majorEastAsia" w:eastAsiaTheme="majorEastAsia"/>
          <w:b/>
          <w:szCs w:val="28"/>
        </w:rPr>
        <w:t>现代环境治理体系和治理能力有待加强。</w:t>
      </w:r>
      <w:r>
        <w:rPr>
          <w:rFonts w:hint="eastAsia" w:eastAsia="宋体"/>
          <w:szCs w:val="28"/>
        </w:rPr>
        <w:t>全县生态环境系统面临专业技术人员不足、专业性不强、业务能力水平不高、环境科研能力欠缺、生态环境监测体系不完善、水气土协同防治能力薄弱；环境监管手段相对单一落后、环境应急处置能力不强、基层环境监管能力薄弱等突出问题；在生态环境保护跨区域、跨部门协同监管、联合执法等机制尚不健全；环保多元化投入、生态护补偿等环境经济政策仍不完善；环境信息公开、排污者主体责任、公众参与等方面仍需持续努力。</w:t>
      </w:r>
    </w:p>
    <w:p w14:paraId="45BD7DBC">
      <w:pPr>
        <w:pStyle w:val="4"/>
        <w:jc w:val="left"/>
        <w:rPr>
          <w:sz w:val="32"/>
        </w:rPr>
      </w:pPr>
      <w:bookmarkStart w:id="14" w:name="_Toc115020785"/>
      <w:r>
        <w:rPr>
          <w:rFonts w:hint="eastAsia"/>
          <w:sz w:val="32"/>
        </w:rPr>
        <w:t>三、总体要求</w:t>
      </w:r>
      <w:bookmarkEnd w:id="14"/>
    </w:p>
    <w:p w14:paraId="167ECD34">
      <w:pPr>
        <w:pStyle w:val="5"/>
        <w:spacing w:before="0" w:after="0"/>
        <w:ind w:firstLine="602" w:firstLineChars="200"/>
        <w:rPr>
          <w:rFonts w:ascii="仿宋" w:hAnsi="仿宋" w:eastAsia="仿宋"/>
        </w:rPr>
      </w:pPr>
      <w:bookmarkStart w:id="15" w:name="_Toc115020786"/>
      <w:r>
        <w:rPr>
          <w:rFonts w:hint="eastAsia" w:ascii="仿宋" w:hAnsi="仿宋" w:eastAsia="仿宋"/>
        </w:rPr>
        <w:t>（一）</w:t>
      </w:r>
      <w:r>
        <w:rPr>
          <w:rFonts w:ascii="仿宋" w:hAnsi="仿宋" w:eastAsia="仿宋"/>
        </w:rPr>
        <w:t>指导思想</w:t>
      </w:r>
      <w:bookmarkEnd w:id="15"/>
    </w:p>
    <w:p w14:paraId="7D66432B">
      <w:pPr>
        <w:adjustRightInd w:val="0"/>
        <w:snapToGrid w:val="0"/>
        <w:ind w:firstLine="560" w:firstLineChars="200"/>
        <w:rPr>
          <w:rFonts w:eastAsia="宋体"/>
          <w:szCs w:val="28"/>
        </w:rPr>
      </w:pPr>
      <w:r>
        <w:rPr>
          <w:rFonts w:hint="eastAsia" w:eastAsia="宋体"/>
          <w:szCs w:val="28"/>
        </w:rPr>
        <w:t>以习近平新时代中国特色社会主义思想为指导，全面贯彻党的十九大和十九届历次全会精神，深入贯彻习近平生态文明思想和习近平总书记对四川工作系列重要指示精神，全面落实省委十一届八次、九次、十次全会精神、省第十二次党代会重大决策部署，立足新发展阶段、贯彻新发展理念、融入新发展格局，紧密围绕“一干多支、五区协同”“四向拓展、全域开放”战略部署，牢牢把握市委“一极一地一市一城一枢纽”发展任务，以协同推进经济高质量发展和生态环境高水平保护为主线，以“减污降碳”为总抓手，以持续改善生态环境质量为核心，积极应对气候变化，深入推进污染防治攻坚战，拓宽生态价值转化路径，加快推进生态环境治理体系及治理能力现代化，以高水平生态环境保护助推井研经济社会高质量发展，为全面推进美丽井研建设提供坚实的生态环境基础。</w:t>
      </w:r>
    </w:p>
    <w:p w14:paraId="115E2438">
      <w:pPr>
        <w:pStyle w:val="5"/>
        <w:spacing w:before="0" w:after="0"/>
        <w:ind w:left="602"/>
        <w:rPr>
          <w:rFonts w:ascii="仿宋" w:hAnsi="仿宋" w:eastAsia="仿宋"/>
        </w:rPr>
      </w:pPr>
      <w:bookmarkStart w:id="16" w:name="_Toc115020787"/>
      <w:r>
        <w:rPr>
          <w:rFonts w:hint="eastAsia" w:ascii="仿宋" w:hAnsi="仿宋" w:eastAsia="仿宋"/>
        </w:rPr>
        <w:t>（二）</w:t>
      </w:r>
      <w:r>
        <w:rPr>
          <w:rFonts w:ascii="仿宋" w:hAnsi="仿宋" w:eastAsia="仿宋"/>
        </w:rPr>
        <w:t>规划原则</w:t>
      </w:r>
      <w:bookmarkEnd w:id="16"/>
    </w:p>
    <w:p w14:paraId="0FE76C54">
      <w:pPr>
        <w:ind w:firstLine="562" w:firstLineChars="200"/>
        <w:rPr>
          <w:rFonts w:eastAsia="宋体"/>
          <w:szCs w:val="28"/>
        </w:rPr>
      </w:pPr>
      <w:r>
        <w:rPr>
          <w:rFonts w:hint="eastAsia" w:eastAsia="宋体"/>
          <w:b/>
          <w:szCs w:val="28"/>
        </w:rPr>
        <w:t>生态优先、绿色发展。</w:t>
      </w:r>
      <w:r>
        <w:rPr>
          <w:rFonts w:hint="eastAsia" w:eastAsia="宋体"/>
          <w:szCs w:val="28"/>
        </w:rPr>
        <w:t>认真践行“绿水青山就是金山银山”的发展理念，全面加强生态环境保护工作。按照节约优先、保护优先、自然恢复为主的思路，科学制定保护、修复和治理措施，形成节约资源和保护环境的空间格局、产业结构、生产方式、生活方式。</w:t>
      </w:r>
    </w:p>
    <w:p w14:paraId="666BDF1B">
      <w:pPr>
        <w:ind w:firstLine="562" w:firstLineChars="200"/>
        <w:rPr>
          <w:rFonts w:eastAsia="宋体"/>
          <w:szCs w:val="28"/>
        </w:rPr>
      </w:pPr>
      <w:r>
        <w:rPr>
          <w:rFonts w:hint="eastAsia" w:eastAsia="宋体"/>
          <w:b/>
          <w:szCs w:val="28"/>
        </w:rPr>
        <w:t>问题导向，目标为本。</w:t>
      </w:r>
      <w:r>
        <w:rPr>
          <w:rFonts w:hint="eastAsia" w:eastAsia="宋体"/>
          <w:szCs w:val="28"/>
        </w:rPr>
        <w:t>以加快解决人民群众和社会各界高度关注的大气、水环境、土壤以及农村生态环境中的突出环境问题为出发点，明确环境质量“只能更好不能更差”的定位，强化针对环境质量目标的控制措施与手段，以生态环境重大建设项目、治理体系与治理能力建设和生态环境民生工程建设项目为落脚点，全力改善区域环境质量，增进民生福祉。</w:t>
      </w:r>
    </w:p>
    <w:p w14:paraId="5F3891ED">
      <w:pPr>
        <w:ind w:firstLine="562" w:firstLineChars="200"/>
        <w:rPr>
          <w:rFonts w:eastAsia="宋体"/>
          <w:szCs w:val="28"/>
        </w:rPr>
      </w:pPr>
      <w:r>
        <w:rPr>
          <w:rFonts w:hint="eastAsia" w:eastAsia="宋体"/>
          <w:b/>
          <w:szCs w:val="28"/>
        </w:rPr>
        <w:t>统筹协调，系统保护。</w:t>
      </w:r>
      <w:r>
        <w:rPr>
          <w:rFonts w:hint="eastAsia" w:eastAsia="宋体"/>
          <w:szCs w:val="28"/>
        </w:rPr>
        <w:t>统筹主体功能区、土地利用、生态环境保护、乡村振兴战略等规划的核心要义，协调产业布局、城乡发展和资源开发与生态环境保护，优化区域经济发展空间布局等，协同治理工业、农业、生活、交通等环境污染，系统开展生态建设，有效提升环境质量。</w:t>
      </w:r>
    </w:p>
    <w:p w14:paraId="6D8A9CD1">
      <w:pPr>
        <w:ind w:firstLine="562" w:firstLineChars="200"/>
        <w:rPr>
          <w:rFonts w:eastAsia="宋体"/>
          <w:szCs w:val="28"/>
        </w:rPr>
      </w:pPr>
      <w:r>
        <w:rPr>
          <w:rFonts w:hint="eastAsia" w:eastAsia="宋体"/>
          <w:b/>
          <w:szCs w:val="28"/>
        </w:rPr>
        <w:t>深化改革，创新机制。</w:t>
      </w:r>
      <w:r>
        <w:rPr>
          <w:rFonts w:hint="eastAsia" w:eastAsia="宋体"/>
          <w:szCs w:val="28"/>
        </w:rPr>
        <w:t>以改革创新为手段，全面落实生态文明体制改革任务，进一步完善生态环境保护体制机制，按照“源头严防、过程严管、后果严惩”的要求，建立系统完善、适应生态文明的生态环境保护制度体系。</w:t>
      </w:r>
    </w:p>
    <w:p w14:paraId="24EB6726">
      <w:pPr>
        <w:ind w:firstLine="562" w:firstLineChars="200"/>
        <w:rPr>
          <w:rFonts w:eastAsia="宋体"/>
          <w:szCs w:val="28"/>
        </w:rPr>
      </w:pPr>
      <w:r>
        <w:rPr>
          <w:rFonts w:hint="eastAsia" w:eastAsia="宋体"/>
          <w:b/>
          <w:szCs w:val="28"/>
        </w:rPr>
        <w:t>创新发展、因地制宜。</w:t>
      </w:r>
      <w:r>
        <w:rPr>
          <w:rFonts w:hint="eastAsia" w:eastAsia="宋体"/>
          <w:szCs w:val="28"/>
        </w:rPr>
        <w:t>建立健全生态环境治理体系和能力现代化，以科学发展观为统领，创新多元化投入和监管模式，强化科技支撑作用，强化关键技术创新研发和集成示范，强化成果转化，提升环保科技创新能力，结合现代科技大力实施环境保护智慧化建设，用“智慧环保”守住蓝天碧水净土。</w:t>
      </w:r>
    </w:p>
    <w:p w14:paraId="739BB40D">
      <w:pPr>
        <w:ind w:firstLine="562" w:firstLineChars="200"/>
        <w:rPr>
          <w:rFonts w:eastAsia="宋体"/>
          <w:szCs w:val="28"/>
        </w:rPr>
      </w:pPr>
      <w:r>
        <w:rPr>
          <w:rFonts w:hint="eastAsia" w:eastAsia="宋体"/>
          <w:b/>
          <w:szCs w:val="28"/>
        </w:rPr>
        <w:t>党政主导，社会共治。</w:t>
      </w:r>
      <w:r>
        <w:rPr>
          <w:rFonts w:hint="eastAsia" w:eastAsia="宋体"/>
          <w:szCs w:val="28"/>
        </w:rPr>
        <w:t>落实生态环境保护“党政同责”、“一岗双责”，加强党委政府对生态环境保护工作的领导。落实企业环境治理主体责任，动员全社会积极参与生态建设与环境保护，激励与约束并举，形成党委政府、企业、公众共治的环境治理体系。</w:t>
      </w:r>
    </w:p>
    <w:p w14:paraId="39EF7A93">
      <w:pPr>
        <w:pStyle w:val="5"/>
        <w:spacing w:before="0" w:after="0"/>
        <w:ind w:firstLine="602" w:firstLineChars="200"/>
        <w:rPr>
          <w:rFonts w:ascii="仿宋" w:hAnsi="仿宋" w:eastAsia="仿宋"/>
        </w:rPr>
      </w:pPr>
      <w:bookmarkStart w:id="17" w:name="_Toc115020788"/>
      <w:r>
        <w:rPr>
          <w:rFonts w:hint="eastAsia" w:ascii="仿宋" w:hAnsi="仿宋" w:eastAsia="仿宋"/>
        </w:rPr>
        <w:t>（三）规划目标</w:t>
      </w:r>
      <w:bookmarkEnd w:id="17"/>
    </w:p>
    <w:p w14:paraId="48E8F655">
      <w:pPr>
        <w:ind w:firstLine="560" w:firstLineChars="200"/>
        <w:jc w:val="left"/>
        <w:rPr>
          <w:rFonts w:eastAsia="宋体"/>
          <w:szCs w:val="28"/>
        </w:rPr>
      </w:pPr>
      <w:r>
        <w:rPr>
          <w:rFonts w:hint="eastAsia" w:eastAsia="宋体"/>
          <w:szCs w:val="28"/>
        </w:rPr>
        <w:t>“十四五” 时期，绿色低碳生产生活方式基本形成，环境治理效果显著增强，大气、水和土壤环境质量持续改善，生态安全屏障更加牢固，生态绿色生态宜居城基本建成，美丽井研建设取得重大成效。</w:t>
      </w:r>
    </w:p>
    <w:p w14:paraId="5CF7234D">
      <w:pPr>
        <w:ind w:firstLine="560" w:firstLineChars="200"/>
        <w:rPr>
          <w:rFonts w:ascii="宋体" w:hAnsi="宋体" w:eastAsia="宋体"/>
          <w:szCs w:val="28"/>
        </w:rPr>
      </w:pPr>
      <w:r>
        <w:rPr>
          <w:rFonts w:ascii="宋体" w:hAnsi="宋体" w:eastAsia="宋体"/>
          <w:szCs w:val="28"/>
        </w:rPr>
        <w:t>——</w:t>
      </w:r>
      <w:r>
        <w:rPr>
          <w:rFonts w:ascii="宋体" w:hAnsi="宋体" w:eastAsia="宋体"/>
          <w:b/>
          <w:szCs w:val="28"/>
        </w:rPr>
        <w:t>绿色转型成效显著。</w:t>
      </w:r>
      <w:r>
        <w:rPr>
          <w:rFonts w:ascii="宋体" w:hAnsi="宋体" w:eastAsia="宋体"/>
          <w:szCs w:val="28"/>
        </w:rPr>
        <w:t>国土空间开发保护格局不断优化</w:t>
      </w:r>
      <w:r>
        <w:rPr>
          <w:rFonts w:hint="eastAsia" w:ascii="宋体" w:hAnsi="宋体" w:eastAsia="宋体"/>
          <w:szCs w:val="28"/>
        </w:rPr>
        <w:t>，</w:t>
      </w:r>
      <w:r>
        <w:rPr>
          <w:rFonts w:ascii="宋体" w:hAnsi="宋体" w:eastAsia="宋体"/>
          <w:szCs w:val="28"/>
        </w:rPr>
        <w:t>产业结构更加优化</w:t>
      </w:r>
      <w:r>
        <w:rPr>
          <w:rFonts w:hint="eastAsia" w:ascii="宋体" w:hAnsi="宋体" w:eastAsia="宋体"/>
          <w:szCs w:val="28"/>
        </w:rPr>
        <w:t>，</w:t>
      </w:r>
      <w:r>
        <w:rPr>
          <w:rFonts w:ascii="宋体" w:hAnsi="宋体" w:eastAsia="宋体"/>
          <w:szCs w:val="28"/>
        </w:rPr>
        <w:t>能源资源配置更加合理、利用效率大幅提升</w:t>
      </w:r>
      <w:r>
        <w:rPr>
          <w:rFonts w:hint="eastAsia" w:ascii="宋体" w:hAnsi="宋体" w:eastAsia="宋体"/>
          <w:szCs w:val="28"/>
        </w:rPr>
        <w:t>，</w:t>
      </w:r>
      <w:r>
        <w:rPr>
          <w:rFonts w:ascii="宋体" w:hAnsi="宋体" w:eastAsia="宋体"/>
          <w:szCs w:val="28"/>
        </w:rPr>
        <w:t>绿色交通格局进一步优化</w:t>
      </w:r>
      <w:r>
        <w:rPr>
          <w:rFonts w:hint="eastAsia" w:ascii="宋体" w:hAnsi="宋体" w:eastAsia="宋体"/>
          <w:szCs w:val="28"/>
        </w:rPr>
        <w:t>，</w:t>
      </w:r>
      <w:r>
        <w:rPr>
          <w:rFonts w:ascii="宋体" w:hAnsi="宋体" w:eastAsia="宋体"/>
          <w:szCs w:val="28"/>
        </w:rPr>
        <w:t>绿色生产生活方式普遍推行</w:t>
      </w:r>
      <w:r>
        <w:rPr>
          <w:rFonts w:hint="eastAsia" w:ascii="宋体" w:hAnsi="宋体" w:eastAsia="宋体"/>
          <w:szCs w:val="28"/>
        </w:rPr>
        <w:t>，</w:t>
      </w:r>
      <w:r>
        <w:rPr>
          <w:rFonts w:ascii="宋体" w:hAnsi="宋体" w:eastAsia="宋体"/>
          <w:szCs w:val="28"/>
        </w:rPr>
        <w:t>碳排放强度持续降低</w:t>
      </w:r>
      <w:r>
        <w:rPr>
          <w:rFonts w:hint="eastAsia" w:ascii="宋体" w:hAnsi="宋体" w:eastAsia="宋体"/>
          <w:szCs w:val="28"/>
        </w:rPr>
        <w:t>。</w:t>
      </w:r>
    </w:p>
    <w:p w14:paraId="6F65F976">
      <w:pPr>
        <w:ind w:firstLine="560" w:firstLineChars="200"/>
        <w:rPr>
          <w:rFonts w:ascii="宋体" w:hAnsi="宋体" w:eastAsia="宋体"/>
          <w:szCs w:val="28"/>
        </w:rPr>
      </w:pPr>
      <w:r>
        <w:rPr>
          <w:rFonts w:hint="eastAsia" w:eastAsia="宋体"/>
          <w:szCs w:val="28"/>
        </w:rPr>
        <w:t>——</w:t>
      </w:r>
      <w:r>
        <w:rPr>
          <w:rFonts w:hint="eastAsia" w:eastAsia="宋体"/>
          <w:b/>
          <w:bCs/>
          <w:szCs w:val="28"/>
        </w:rPr>
        <w:t>生态环境质量持续改善。</w:t>
      </w:r>
      <w:r>
        <w:rPr>
          <w:rFonts w:hint="eastAsia" w:ascii="宋体" w:hAnsi="宋体" w:eastAsia="宋体"/>
          <w:szCs w:val="28"/>
        </w:rPr>
        <w:t>主要污染物排放总量持续减少，空气质量全面达标,基本消除重污染天气，国控、省控断面水质稳定达到Ⅲ类。生态系统服务功能持续增强，山水林田湖草一体的生态系统实现良性循环,生态系统质量和稳定性不断提升。</w:t>
      </w:r>
    </w:p>
    <w:p w14:paraId="46CC1735">
      <w:pPr>
        <w:ind w:firstLine="560" w:firstLineChars="200"/>
        <w:rPr>
          <w:rFonts w:ascii="宋体" w:hAnsi="宋体" w:eastAsia="宋体"/>
          <w:szCs w:val="28"/>
        </w:rPr>
      </w:pPr>
      <w:r>
        <w:rPr>
          <w:rFonts w:hint="eastAsia" w:eastAsia="宋体"/>
          <w:szCs w:val="28"/>
        </w:rPr>
        <w:t>——</w:t>
      </w:r>
      <w:r>
        <w:rPr>
          <w:rFonts w:hint="eastAsia" w:eastAsia="宋体"/>
          <w:b/>
          <w:bCs/>
          <w:szCs w:val="28"/>
        </w:rPr>
        <w:t>环境安全有效管控。</w:t>
      </w:r>
      <w:r>
        <w:rPr>
          <w:rFonts w:hint="eastAsia" w:ascii="宋体" w:hAnsi="宋体" w:eastAsia="宋体"/>
          <w:szCs w:val="28"/>
        </w:rPr>
        <w:t>土壤环境质量总体保持稳定,危险废物得到有效处置,环境应急体系不断完善,环境应急能力持续提升,环境风险得到有效管控。</w:t>
      </w:r>
    </w:p>
    <w:p w14:paraId="0186F5CB">
      <w:pPr>
        <w:pStyle w:val="8"/>
        <w:rPr>
          <w:rFonts w:ascii="宋体" w:hAnsi="宋体" w:eastAsia="宋体"/>
          <w:sz w:val="28"/>
          <w:szCs w:val="28"/>
        </w:rPr>
      </w:pPr>
      <w:r>
        <w:rPr>
          <w:rFonts w:hint="eastAsia" w:eastAsia="宋体"/>
          <w:szCs w:val="28"/>
        </w:rPr>
        <w:t>——</w:t>
      </w:r>
      <w:r>
        <w:rPr>
          <w:rFonts w:hint="eastAsia" w:ascii="宋体" w:hAnsi="宋体" w:eastAsia="宋体"/>
          <w:b/>
          <w:sz w:val="28"/>
          <w:szCs w:val="28"/>
        </w:rPr>
        <w:t>环境治理体系与治理能力现代化水平不断提升。</w:t>
      </w:r>
      <w:r>
        <w:rPr>
          <w:rFonts w:hint="eastAsia" w:ascii="宋体" w:hAnsi="宋体" w:eastAsia="宋体"/>
          <w:sz w:val="28"/>
          <w:szCs w:val="28"/>
        </w:rPr>
        <w:t>生态文明体制机制改革深入推进,生态环境监测体系不断完善,环境科研能力不断提升，生态环境治理效能显著提升,环境治理体系与治理能力现代化水平不断提升。</w:t>
      </w:r>
    </w:p>
    <w:p w14:paraId="2858CF01">
      <w:pPr>
        <w:ind w:firstLine="560" w:firstLineChars="200"/>
        <w:rPr>
          <w:rFonts w:eastAsia="宋体"/>
          <w:szCs w:val="28"/>
        </w:rPr>
      </w:pPr>
      <w:r>
        <w:rPr>
          <w:rFonts w:hint="eastAsia" w:eastAsia="宋体"/>
          <w:szCs w:val="28"/>
        </w:rPr>
        <w:t>本次“十四五”规划共设置指标18项，其中约束性指标17项，预期性指标1项。</w:t>
      </w:r>
    </w:p>
    <w:p w14:paraId="0BEFB489">
      <w:pPr>
        <w:pStyle w:val="33"/>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675"/>
        <w:gridCol w:w="2126"/>
        <w:gridCol w:w="567"/>
        <w:gridCol w:w="1417"/>
        <w:gridCol w:w="2264"/>
        <w:gridCol w:w="930"/>
      </w:tblGrid>
      <w:tr w14:paraId="4AE74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5" w:type="dxa"/>
            <w:gridSpan w:val="7"/>
            <w:shd w:val="clear" w:color="auto" w:fill="auto"/>
            <w:vAlign w:val="center"/>
          </w:tcPr>
          <w:p w14:paraId="49EF0035">
            <w:pPr>
              <w:pStyle w:val="33"/>
              <w:wordWrap/>
            </w:pPr>
            <w:r>
              <w:rPr>
                <w:rFonts w:hint="eastAsia" w:eastAsia="等线"/>
                <w:b/>
                <w:bCs/>
                <w:szCs w:val="21"/>
              </w:rPr>
              <w:t>表1</w:t>
            </w:r>
            <w:r>
              <w:rPr>
                <w:rFonts w:eastAsia="等线"/>
                <w:b/>
                <w:bCs/>
                <w:szCs w:val="21"/>
              </w:rPr>
              <w:t xml:space="preserve">  </w:t>
            </w:r>
            <w:r>
              <w:rPr>
                <w:rFonts w:hint="eastAsia" w:eastAsia="等线"/>
                <w:b/>
                <w:bCs/>
                <w:szCs w:val="21"/>
              </w:rPr>
              <w:t>井研县</w:t>
            </w:r>
            <w:r>
              <w:rPr>
                <w:rFonts w:eastAsia="等线"/>
                <w:b/>
                <w:bCs/>
                <w:szCs w:val="21"/>
              </w:rPr>
              <w:t>“十四五”期间生态环境保护指标</w:t>
            </w:r>
          </w:p>
        </w:tc>
      </w:tr>
      <w:tr w14:paraId="712EF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shd w:val="clear" w:color="auto" w:fill="auto"/>
            <w:vAlign w:val="center"/>
          </w:tcPr>
          <w:p w14:paraId="48630A5B">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类别</w:t>
            </w:r>
          </w:p>
        </w:tc>
        <w:tc>
          <w:tcPr>
            <w:tcW w:w="675" w:type="dxa"/>
            <w:vAlign w:val="center"/>
          </w:tcPr>
          <w:p w14:paraId="408D5580">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序号</w:t>
            </w:r>
          </w:p>
        </w:tc>
        <w:tc>
          <w:tcPr>
            <w:tcW w:w="2126" w:type="dxa"/>
            <w:shd w:val="clear" w:color="auto" w:fill="auto"/>
            <w:vAlign w:val="center"/>
          </w:tcPr>
          <w:p w14:paraId="716A937C">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指标名称</w:t>
            </w:r>
          </w:p>
        </w:tc>
        <w:tc>
          <w:tcPr>
            <w:tcW w:w="567" w:type="dxa"/>
            <w:shd w:val="clear" w:color="auto" w:fill="auto"/>
            <w:vAlign w:val="center"/>
          </w:tcPr>
          <w:p w14:paraId="03181425">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单位</w:t>
            </w:r>
          </w:p>
        </w:tc>
        <w:tc>
          <w:tcPr>
            <w:tcW w:w="1417" w:type="dxa"/>
            <w:shd w:val="clear" w:color="auto" w:fill="auto"/>
            <w:vAlign w:val="center"/>
          </w:tcPr>
          <w:p w14:paraId="20CD3BF8">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2020年</w:t>
            </w:r>
          </w:p>
          <w:p w14:paraId="1E46097C">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基期值</w:t>
            </w:r>
          </w:p>
        </w:tc>
        <w:tc>
          <w:tcPr>
            <w:tcW w:w="2264" w:type="dxa"/>
            <w:shd w:val="clear" w:color="auto" w:fill="auto"/>
            <w:vAlign w:val="center"/>
          </w:tcPr>
          <w:p w14:paraId="61062086">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2025年目标值</w:t>
            </w:r>
          </w:p>
        </w:tc>
        <w:tc>
          <w:tcPr>
            <w:tcW w:w="930" w:type="dxa"/>
            <w:shd w:val="clear" w:color="auto" w:fill="auto"/>
            <w:vAlign w:val="center"/>
          </w:tcPr>
          <w:p w14:paraId="09ED0237">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属性</w:t>
            </w:r>
          </w:p>
        </w:tc>
      </w:tr>
      <w:tr w14:paraId="1D569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restart"/>
            <w:shd w:val="clear" w:color="auto" w:fill="auto"/>
            <w:vAlign w:val="center"/>
          </w:tcPr>
          <w:p w14:paraId="10E81EBF">
            <w:pPr>
              <w:widowControl w:val="0"/>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环境治理</w:t>
            </w:r>
          </w:p>
        </w:tc>
        <w:tc>
          <w:tcPr>
            <w:tcW w:w="675" w:type="dxa"/>
            <w:vAlign w:val="center"/>
          </w:tcPr>
          <w:p w14:paraId="440F6132">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1</w:t>
            </w:r>
          </w:p>
        </w:tc>
        <w:tc>
          <w:tcPr>
            <w:tcW w:w="2126" w:type="dxa"/>
            <w:shd w:val="clear" w:color="auto" w:fill="auto"/>
            <w:vAlign w:val="center"/>
          </w:tcPr>
          <w:p w14:paraId="18280549">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空气质量优良天数比率</w:t>
            </w:r>
          </w:p>
        </w:tc>
        <w:tc>
          <w:tcPr>
            <w:tcW w:w="567" w:type="dxa"/>
            <w:shd w:val="clear" w:color="auto" w:fill="auto"/>
            <w:vAlign w:val="center"/>
          </w:tcPr>
          <w:p w14:paraId="1A43BEAE">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w:t>
            </w:r>
          </w:p>
        </w:tc>
        <w:tc>
          <w:tcPr>
            <w:tcW w:w="1417" w:type="dxa"/>
            <w:shd w:val="clear" w:color="auto" w:fill="auto"/>
            <w:vAlign w:val="center"/>
          </w:tcPr>
          <w:p w14:paraId="6141ACBF">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88.5</w:t>
            </w:r>
          </w:p>
        </w:tc>
        <w:tc>
          <w:tcPr>
            <w:tcW w:w="2264" w:type="dxa"/>
            <w:shd w:val="clear" w:color="auto" w:fill="auto"/>
            <w:vAlign w:val="center"/>
          </w:tcPr>
          <w:p w14:paraId="4150D473">
            <w:pPr>
              <w:widowControl w:val="0"/>
              <w:spacing w:line="240" w:lineRule="auto"/>
              <w:jc w:val="center"/>
              <w:rPr>
                <w:rFonts w:asciiTheme="minorEastAsia" w:hAnsiTheme="minorEastAsia" w:eastAsiaTheme="minorEastAsia" w:cstheme="minorEastAsia"/>
                <w:kern w:val="0"/>
                <w:sz w:val="18"/>
                <w:szCs w:val="21"/>
              </w:rPr>
            </w:pPr>
            <w:bookmarkStart w:id="18" w:name="_Hlk6575930"/>
            <w:r>
              <w:rPr>
                <w:rFonts w:hint="eastAsia" w:asciiTheme="minorEastAsia" w:hAnsiTheme="minorEastAsia" w:eastAsiaTheme="minorEastAsia" w:cstheme="minorEastAsia"/>
                <w:kern w:val="0"/>
                <w:sz w:val="18"/>
                <w:szCs w:val="21"/>
              </w:rPr>
              <w:t>完成上级规定的考核任务；保持稳定或持续改善</w:t>
            </w:r>
            <w:bookmarkEnd w:id="18"/>
          </w:p>
        </w:tc>
        <w:tc>
          <w:tcPr>
            <w:tcW w:w="930" w:type="dxa"/>
            <w:shd w:val="clear" w:color="auto" w:fill="auto"/>
            <w:vAlign w:val="center"/>
          </w:tcPr>
          <w:p w14:paraId="6BF22839">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约束性</w:t>
            </w:r>
          </w:p>
        </w:tc>
      </w:tr>
      <w:tr w14:paraId="6C734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vAlign w:val="center"/>
          </w:tcPr>
          <w:p w14:paraId="0A9EE54B">
            <w:pPr>
              <w:widowControl w:val="0"/>
              <w:jc w:val="center"/>
              <w:rPr>
                <w:rFonts w:asciiTheme="minorEastAsia" w:hAnsiTheme="minorEastAsia" w:eastAsiaTheme="minorEastAsia" w:cstheme="minorEastAsia"/>
                <w:kern w:val="0"/>
                <w:sz w:val="18"/>
                <w:szCs w:val="21"/>
              </w:rPr>
            </w:pPr>
          </w:p>
        </w:tc>
        <w:tc>
          <w:tcPr>
            <w:tcW w:w="675" w:type="dxa"/>
            <w:vAlign w:val="center"/>
          </w:tcPr>
          <w:p w14:paraId="6067A368">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2</w:t>
            </w:r>
          </w:p>
        </w:tc>
        <w:tc>
          <w:tcPr>
            <w:tcW w:w="2126" w:type="dxa"/>
            <w:shd w:val="clear" w:color="auto" w:fill="auto"/>
            <w:vAlign w:val="center"/>
          </w:tcPr>
          <w:p w14:paraId="3D500A9A">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细颗粒物（PM2.5）浓度</w:t>
            </w:r>
          </w:p>
        </w:tc>
        <w:tc>
          <w:tcPr>
            <w:tcW w:w="567" w:type="dxa"/>
            <w:shd w:val="clear" w:color="auto" w:fill="auto"/>
            <w:vAlign w:val="center"/>
          </w:tcPr>
          <w:p w14:paraId="615AABAE">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ug/m3</w:t>
            </w:r>
          </w:p>
        </w:tc>
        <w:tc>
          <w:tcPr>
            <w:tcW w:w="1417" w:type="dxa"/>
            <w:shd w:val="clear" w:color="auto" w:fill="auto"/>
            <w:vAlign w:val="center"/>
          </w:tcPr>
          <w:p w14:paraId="07AD8833">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32.8</w:t>
            </w:r>
          </w:p>
        </w:tc>
        <w:tc>
          <w:tcPr>
            <w:tcW w:w="2264" w:type="dxa"/>
            <w:shd w:val="clear" w:color="auto" w:fill="auto"/>
            <w:vAlign w:val="center"/>
          </w:tcPr>
          <w:p w14:paraId="6B0C2179">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完成上级规定的考核任务；保持稳定或持续改善</w:t>
            </w:r>
          </w:p>
        </w:tc>
        <w:tc>
          <w:tcPr>
            <w:tcW w:w="930" w:type="dxa"/>
            <w:shd w:val="clear" w:color="auto" w:fill="auto"/>
            <w:vAlign w:val="center"/>
          </w:tcPr>
          <w:p w14:paraId="7CC21511">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约束性</w:t>
            </w:r>
          </w:p>
        </w:tc>
      </w:tr>
      <w:tr w14:paraId="3EFBD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vAlign w:val="center"/>
          </w:tcPr>
          <w:p w14:paraId="67265A56">
            <w:pPr>
              <w:widowControl w:val="0"/>
              <w:jc w:val="center"/>
              <w:rPr>
                <w:rFonts w:asciiTheme="minorEastAsia" w:hAnsiTheme="minorEastAsia" w:eastAsiaTheme="minorEastAsia" w:cstheme="minorEastAsia"/>
                <w:kern w:val="0"/>
                <w:sz w:val="18"/>
                <w:szCs w:val="21"/>
              </w:rPr>
            </w:pPr>
          </w:p>
        </w:tc>
        <w:tc>
          <w:tcPr>
            <w:tcW w:w="675" w:type="dxa"/>
            <w:vAlign w:val="center"/>
          </w:tcPr>
          <w:p w14:paraId="7091E06A">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3</w:t>
            </w:r>
          </w:p>
        </w:tc>
        <w:tc>
          <w:tcPr>
            <w:tcW w:w="2126" w:type="dxa"/>
            <w:shd w:val="clear" w:color="auto" w:fill="auto"/>
            <w:vAlign w:val="center"/>
          </w:tcPr>
          <w:p w14:paraId="1ACAABCF">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国、省控断面达到或优于III类水体比例</w:t>
            </w:r>
          </w:p>
        </w:tc>
        <w:tc>
          <w:tcPr>
            <w:tcW w:w="567" w:type="dxa"/>
            <w:shd w:val="clear" w:color="auto" w:fill="auto"/>
            <w:vAlign w:val="center"/>
          </w:tcPr>
          <w:p w14:paraId="4B441B7D">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w:t>
            </w:r>
          </w:p>
        </w:tc>
        <w:tc>
          <w:tcPr>
            <w:tcW w:w="1417" w:type="dxa"/>
            <w:shd w:val="clear" w:color="auto" w:fill="auto"/>
            <w:vAlign w:val="center"/>
          </w:tcPr>
          <w:p w14:paraId="432078EA">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w:t>
            </w:r>
          </w:p>
        </w:tc>
        <w:tc>
          <w:tcPr>
            <w:tcW w:w="2264" w:type="dxa"/>
            <w:shd w:val="clear" w:color="auto" w:fill="auto"/>
            <w:vAlign w:val="center"/>
          </w:tcPr>
          <w:p w14:paraId="1663BE96">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100</w:t>
            </w:r>
          </w:p>
        </w:tc>
        <w:tc>
          <w:tcPr>
            <w:tcW w:w="930" w:type="dxa"/>
            <w:shd w:val="clear" w:color="auto" w:fill="auto"/>
            <w:vAlign w:val="center"/>
          </w:tcPr>
          <w:p w14:paraId="16063F4F">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约束性</w:t>
            </w:r>
          </w:p>
        </w:tc>
      </w:tr>
      <w:tr w14:paraId="72029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vAlign w:val="center"/>
          </w:tcPr>
          <w:p w14:paraId="558BB451">
            <w:pPr>
              <w:widowControl w:val="0"/>
              <w:jc w:val="center"/>
              <w:rPr>
                <w:rFonts w:asciiTheme="minorEastAsia" w:hAnsiTheme="minorEastAsia" w:eastAsiaTheme="minorEastAsia" w:cstheme="minorEastAsia"/>
                <w:kern w:val="0"/>
                <w:sz w:val="18"/>
                <w:szCs w:val="21"/>
              </w:rPr>
            </w:pPr>
          </w:p>
        </w:tc>
        <w:tc>
          <w:tcPr>
            <w:tcW w:w="675" w:type="dxa"/>
            <w:vAlign w:val="center"/>
          </w:tcPr>
          <w:p w14:paraId="612DB21E">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4</w:t>
            </w:r>
          </w:p>
        </w:tc>
        <w:tc>
          <w:tcPr>
            <w:tcW w:w="2126" w:type="dxa"/>
            <w:shd w:val="clear" w:color="auto" w:fill="auto"/>
            <w:vAlign w:val="center"/>
          </w:tcPr>
          <w:p w14:paraId="3A153907">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劣V类水体比例（%）</w:t>
            </w:r>
          </w:p>
        </w:tc>
        <w:tc>
          <w:tcPr>
            <w:tcW w:w="567" w:type="dxa"/>
            <w:shd w:val="clear" w:color="auto" w:fill="auto"/>
            <w:vAlign w:val="center"/>
          </w:tcPr>
          <w:p w14:paraId="0611A07E">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w:t>
            </w:r>
          </w:p>
        </w:tc>
        <w:tc>
          <w:tcPr>
            <w:tcW w:w="1417" w:type="dxa"/>
            <w:shd w:val="clear" w:color="auto" w:fill="auto"/>
            <w:vAlign w:val="center"/>
          </w:tcPr>
          <w:p w14:paraId="3DB64C23">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w:t>
            </w:r>
          </w:p>
        </w:tc>
        <w:tc>
          <w:tcPr>
            <w:tcW w:w="2264" w:type="dxa"/>
            <w:shd w:val="clear" w:color="auto" w:fill="auto"/>
            <w:vAlign w:val="center"/>
          </w:tcPr>
          <w:p w14:paraId="77442304">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0</w:t>
            </w:r>
          </w:p>
        </w:tc>
        <w:tc>
          <w:tcPr>
            <w:tcW w:w="930" w:type="dxa"/>
            <w:shd w:val="clear" w:color="auto" w:fill="auto"/>
            <w:vAlign w:val="center"/>
          </w:tcPr>
          <w:p w14:paraId="45BFF84E">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约束性</w:t>
            </w:r>
          </w:p>
        </w:tc>
      </w:tr>
      <w:tr w14:paraId="67A21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vAlign w:val="center"/>
          </w:tcPr>
          <w:p w14:paraId="6B8130A5">
            <w:pPr>
              <w:widowControl w:val="0"/>
              <w:jc w:val="center"/>
              <w:rPr>
                <w:rFonts w:asciiTheme="minorEastAsia" w:hAnsiTheme="minorEastAsia" w:eastAsiaTheme="minorEastAsia" w:cstheme="minorEastAsia"/>
              </w:rPr>
            </w:pPr>
          </w:p>
        </w:tc>
        <w:tc>
          <w:tcPr>
            <w:tcW w:w="675" w:type="dxa"/>
            <w:vAlign w:val="center"/>
          </w:tcPr>
          <w:p w14:paraId="227D888D">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5</w:t>
            </w:r>
          </w:p>
        </w:tc>
        <w:tc>
          <w:tcPr>
            <w:tcW w:w="2126" w:type="dxa"/>
            <w:shd w:val="clear" w:color="auto" w:fill="auto"/>
            <w:vAlign w:val="center"/>
          </w:tcPr>
          <w:p w14:paraId="5B4517EF">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县城、乡镇集中式饮用水水源水质量达到或优于Ⅲ类比例</w:t>
            </w:r>
          </w:p>
        </w:tc>
        <w:tc>
          <w:tcPr>
            <w:tcW w:w="567" w:type="dxa"/>
            <w:shd w:val="clear" w:color="auto" w:fill="auto"/>
            <w:vAlign w:val="center"/>
          </w:tcPr>
          <w:p w14:paraId="5D31127A">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w:t>
            </w:r>
          </w:p>
        </w:tc>
        <w:tc>
          <w:tcPr>
            <w:tcW w:w="1417" w:type="dxa"/>
            <w:shd w:val="clear" w:color="auto" w:fill="auto"/>
            <w:vAlign w:val="center"/>
          </w:tcPr>
          <w:p w14:paraId="45531D03">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100</w:t>
            </w:r>
          </w:p>
        </w:tc>
        <w:tc>
          <w:tcPr>
            <w:tcW w:w="2264" w:type="dxa"/>
            <w:shd w:val="clear" w:color="auto" w:fill="auto"/>
            <w:vAlign w:val="center"/>
          </w:tcPr>
          <w:p w14:paraId="38E27303">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100</w:t>
            </w:r>
          </w:p>
        </w:tc>
        <w:tc>
          <w:tcPr>
            <w:tcW w:w="930" w:type="dxa"/>
            <w:shd w:val="clear" w:color="auto" w:fill="auto"/>
            <w:vAlign w:val="center"/>
          </w:tcPr>
          <w:p w14:paraId="0503C625">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约束性</w:t>
            </w:r>
          </w:p>
        </w:tc>
      </w:tr>
      <w:tr w14:paraId="5B6E4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shd w:val="clear" w:color="auto" w:fill="auto"/>
            <w:vAlign w:val="center"/>
          </w:tcPr>
          <w:p w14:paraId="4B536B16">
            <w:pPr>
              <w:widowControl w:val="0"/>
              <w:spacing w:line="240" w:lineRule="auto"/>
              <w:jc w:val="center"/>
              <w:rPr>
                <w:rFonts w:asciiTheme="minorEastAsia" w:hAnsiTheme="minorEastAsia" w:eastAsiaTheme="minorEastAsia" w:cstheme="minorEastAsia"/>
                <w:kern w:val="0"/>
                <w:sz w:val="18"/>
                <w:szCs w:val="21"/>
              </w:rPr>
            </w:pPr>
          </w:p>
        </w:tc>
        <w:tc>
          <w:tcPr>
            <w:tcW w:w="675" w:type="dxa"/>
            <w:vAlign w:val="center"/>
          </w:tcPr>
          <w:p w14:paraId="1E15D0FB">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6</w:t>
            </w:r>
          </w:p>
        </w:tc>
        <w:tc>
          <w:tcPr>
            <w:tcW w:w="2126" w:type="dxa"/>
            <w:shd w:val="clear" w:color="auto" w:fill="auto"/>
            <w:vAlign w:val="center"/>
          </w:tcPr>
          <w:p w14:paraId="12DAC1FF">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化学需氧量</w:t>
            </w:r>
          </w:p>
          <w:p w14:paraId="4AE1FFFB">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排放量减排</w:t>
            </w:r>
          </w:p>
        </w:tc>
        <w:tc>
          <w:tcPr>
            <w:tcW w:w="567" w:type="dxa"/>
            <w:vMerge w:val="restart"/>
            <w:shd w:val="clear" w:color="auto" w:fill="auto"/>
            <w:vAlign w:val="center"/>
          </w:tcPr>
          <w:p w14:paraId="114E639A">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w:t>
            </w:r>
          </w:p>
        </w:tc>
        <w:tc>
          <w:tcPr>
            <w:tcW w:w="1417" w:type="dxa"/>
            <w:shd w:val="clear" w:color="auto" w:fill="auto"/>
            <w:vAlign w:val="center"/>
          </w:tcPr>
          <w:p w14:paraId="607E5588">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较2015年减排比列10％</w:t>
            </w:r>
          </w:p>
        </w:tc>
        <w:tc>
          <w:tcPr>
            <w:tcW w:w="2264" w:type="dxa"/>
            <w:shd w:val="clear" w:color="auto" w:fill="auto"/>
            <w:vAlign w:val="center"/>
          </w:tcPr>
          <w:p w14:paraId="378AF8BE">
            <w:pPr>
              <w:jc w:val="center"/>
              <w:rPr>
                <w:rFonts w:asciiTheme="minorEastAsia" w:hAnsiTheme="minorEastAsia" w:eastAsiaTheme="minorEastAsia" w:cstheme="minorEastAsia"/>
              </w:rPr>
            </w:pPr>
            <w:r>
              <w:rPr>
                <w:rFonts w:hint="eastAsia" w:asciiTheme="minorEastAsia" w:hAnsiTheme="minorEastAsia" w:eastAsiaTheme="minorEastAsia" w:cstheme="minorEastAsia"/>
                <w:sz w:val="18"/>
                <w:szCs w:val="18"/>
              </w:rPr>
              <w:t>完成上级下达目标任务</w:t>
            </w:r>
          </w:p>
        </w:tc>
        <w:tc>
          <w:tcPr>
            <w:tcW w:w="930" w:type="dxa"/>
            <w:shd w:val="clear" w:color="auto" w:fill="auto"/>
            <w:vAlign w:val="center"/>
          </w:tcPr>
          <w:p w14:paraId="0C260DC5">
            <w:pPr>
              <w:jc w:val="center"/>
              <w:rPr>
                <w:rFonts w:asciiTheme="minorEastAsia" w:hAnsiTheme="minorEastAsia" w:eastAsiaTheme="minorEastAsia" w:cstheme="minorEastAsia"/>
              </w:rPr>
            </w:pPr>
            <w:r>
              <w:rPr>
                <w:rFonts w:hint="eastAsia" w:asciiTheme="minorEastAsia" w:hAnsiTheme="minorEastAsia" w:eastAsiaTheme="minorEastAsia" w:cstheme="minorEastAsia"/>
                <w:kern w:val="0"/>
                <w:sz w:val="18"/>
                <w:szCs w:val="21"/>
              </w:rPr>
              <w:t>约束性</w:t>
            </w:r>
          </w:p>
        </w:tc>
      </w:tr>
      <w:tr w14:paraId="23F16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426" w:type="dxa"/>
            <w:vMerge w:val="continue"/>
            <w:vAlign w:val="center"/>
          </w:tcPr>
          <w:p w14:paraId="575D996B">
            <w:pPr>
              <w:widowControl w:val="0"/>
              <w:spacing w:line="240" w:lineRule="auto"/>
              <w:jc w:val="center"/>
              <w:rPr>
                <w:rFonts w:asciiTheme="minorEastAsia" w:hAnsiTheme="minorEastAsia" w:eastAsiaTheme="minorEastAsia" w:cstheme="minorEastAsia"/>
                <w:kern w:val="0"/>
                <w:sz w:val="18"/>
                <w:szCs w:val="21"/>
              </w:rPr>
            </w:pPr>
          </w:p>
        </w:tc>
        <w:tc>
          <w:tcPr>
            <w:tcW w:w="675" w:type="dxa"/>
            <w:vAlign w:val="center"/>
          </w:tcPr>
          <w:p w14:paraId="15DF5868">
            <w:pPr>
              <w:widowControl w:val="0"/>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7</w:t>
            </w:r>
          </w:p>
        </w:tc>
        <w:tc>
          <w:tcPr>
            <w:tcW w:w="2126" w:type="dxa"/>
            <w:vAlign w:val="center"/>
          </w:tcPr>
          <w:p w14:paraId="282DA1AF">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氨氮排放量减排</w:t>
            </w:r>
          </w:p>
        </w:tc>
        <w:tc>
          <w:tcPr>
            <w:tcW w:w="567" w:type="dxa"/>
            <w:vMerge w:val="continue"/>
            <w:vAlign w:val="center"/>
          </w:tcPr>
          <w:p w14:paraId="1C7758E1">
            <w:pPr>
              <w:widowControl w:val="0"/>
              <w:spacing w:line="240" w:lineRule="auto"/>
              <w:jc w:val="center"/>
              <w:rPr>
                <w:rFonts w:asciiTheme="minorEastAsia" w:hAnsiTheme="minorEastAsia" w:eastAsiaTheme="minorEastAsia" w:cstheme="minorEastAsia"/>
                <w:kern w:val="0"/>
                <w:sz w:val="18"/>
                <w:szCs w:val="21"/>
              </w:rPr>
            </w:pPr>
          </w:p>
        </w:tc>
        <w:tc>
          <w:tcPr>
            <w:tcW w:w="1417" w:type="dxa"/>
            <w:shd w:val="clear" w:color="auto" w:fill="auto"/>
            <w:vAlign w:val="center"/>
          </w:tcPr>
          <w:p w14:paraId="10E711FB">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较2015年减排比列39.5％</w:t>
            </w:r>
          </w:p>
        </w:tc>
        <w:tc>
          <w:tcPr>
            <w:tcW w:w="2264" w:type="dxa"/>
            <w:shd w:val="clear" w:color="auto" w:fill="auto"/>
            <w:vAlign w:val="center"/>
          </w:tcPr>
          <w:p w14:paraId="71F64319">
            <w:pPr>
              <w:jc w:val="center"/>
              <w:rPr>
                <w:rFonts w:asciiTheme="minorEastAsia" w:hAnsiTheme="minorEastAsia" w:eastAsiaTheme="minorEastAsia" w:cstheme="minorEastAsia"/>
              </w:rPr>
            </w:pPr>
            <w:r>
              <w:rPr>
                <w:rFonts w:hint="eastAsia" w:asciiTheme="minorEastAsia" w:hAnsiTheme="minorEastAsia" w:eastAsiaTheme="minorEastAsia" w:cstheme="minorEastAsia"/>
                <w:sz w:val="18"/>
                <w:szCs w:val="18"/>
              </w:rPr>
              <w:t>完成上级下达目标任务</w:t>
            </w:r>
          </w:p>
        </w:tc>
        <w:tc>
          <w:tcPr>
            <w:tcW w:w="930" w:type="dxa"/>
            <w:shd w:val="clear" w:color="auto" w:fill="auto"/>
            <w:vAlign w:val="center"/>
          </w:tcPr>
          <w:p w14:paraId="04347147">
            <w:pPr>
              <w:jc w:val="center"/>
              <w:rPr>
                <w:rFonts w:asciiTheme="minorEastAsia" w:hAnsiTheme="minorEastAsia" w:eastAsiaTheme="minorEastAsia" w:cstheme="minorEastAsia"/>
              </w:rPr>
            </w:pPr>
            <w:r>
              <w:rPr>
                <w:rFonts w:hint="eastAsia" w:asciiTheme="minorEastAsia" w:hAnsiTheme="minorEastAsia" w:eastAsiaTheme="minorEastAsia" w:cstheme="minorEastAsia"/>
                <w:kern w:val="0"/>
                <w:sz w:val="18"/>
                <w:szCs w:val="21"/>
              </w:rPr>
              <w:t>约束性</w:t>
            </w:r>
          </w:p>
        </w:tc>
      </w:tr>
      <w:tr w14:paraId="14FAA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vAlign w:val="center"/>
          </w:tcPr>
          <w:p w14:paraId="63A19D6B">
            <w:pPr>
              <w:widowControl w:val="0"/>
              <w:spacing w:line="240" w:lineRule="auto"/>
              <w:jc w:val="center"/>
              <w:rPr>
                <w:rFonts w:asciiTheme="minorEastAsia" w:hAnsiTheme="minorEastAsia" w:eastAsiaTheme="minorEastAsia" w:cstheme="minorEastAsia"/>
                <w:kern w:val="0"/>
                <w:sz w:val="18"/>
                <w:szCs w:val="21"/>
              </w:rPr>
            </w:pPr>
          </w:p>
        </w:tc>
        <w:tc>
          <w:tcPr>
            <w:tcW w:w="675" w:type="dxa"/>
            <w:vAlign w:val="center"/>
          </w:tcPr>
          <w:p w14:paraId="6A66A757">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8</w:t>
            </w:r>
          </w:p>
        </w:tc>
        <w:tc>
          <w:tcPr>
            <w:tcW w:w="2126" w:type="dxa"/>
            <w:vAlign w:val="center"/>
          </w:tcPr>
          <w:p w14:paraId="6BD1F3AE">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挥发性有机物</w:t>
            </w:r>
          </w:p>
          <w:p w14:paraId="27ADD801">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排放量减排</w:t>
            </w:r>
          </w:p>
        </w:tc>
        <w:tc>
          <w:tcPr>
            <w:tcW w:w="567" w:type="dxa"/>
            <w:vMerge w:val="continue"/>
            <w:vAlign w:val="center"/>
          </w:tcPr>
          <w:p w14:paraId="60ACF08B">
            <w:pPr>
              <w:widowControl w:val="0"/>
              <w:spacing w:line="240" w:lineRule="auto"/>
              <w:jc w:val="center"/>
              <w:rPr>
                <w:rFonts w:asciiTheme="minorEastAsia" w:hAnsiTheme="minorEastAsia" w:eastAsiaTheme="minorEastAsia" w:cstheme="minorEastAsia"/>
                <w:kern w:val="0"/>
                <w:sz w:val="18"/>
                <w:szCs w:val="21"/>
              </w:rPr>
            </w:pPr>
          </w:p>
        </w:tc>
        <w:tc>
          <w:tcPr>
            <w:tcW w:w="1417" w:type="dxa"/>
            <w:shd w:val="clear" w:color="auto" w:fill="auto"/>
            <w:vAlign w:val="center"/>
          </w:tcPr>
          <w:p w14:paraId="7CF7396D">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w:t>
            </w:r>
          </w:p>
        </w:tc>
        <w:tc>
          <w:tcPr>
            <w:tcW w:w="2264" w:type="dxa"/>
            <w:shd w:val="clear" w:color="auto" w:fill="auto"/>
            <w:vAlign w:val="center"/>
          </w:tcPr>
          <w:p w14:paraId="4322ED74">
            <w:pPr>
              <w:jc w:val="center"/>
              <w:rPr>
                <w:rFonts w:asciiTheme="minorEastAsia" w:hAnsiTheme="minorEastAsia" w:eastAsiaTheme="minorEastAsia" w:cstheme="minorEastAsia"/>
              </w:rPr>
            </w:pPr>
            <w:r>
              <w:rPr>
                <w:rFonts w:hint="eastAsia" w:asciiTheme="minorEastAsia" w:hAnsiTheme="minorEastAsia" w:eastAsiaTheme="minorEastAsia" w:cstheme="minorEastAsia"/>
                <w:sz w:val="18"/>
                <w:szCs w:val="18"/>
              </w:rPr>
              <w:t>完成上级下达目标任务</w:t>
            </w:r>
          </w:p>
        </w:tc>
        <w:tc>
          <w:tcPr>
            <w:tcW w:w="930" w:type="dxa"/>
            <w:shd w:val="clear" w:color="auto" w:fill="auto"/>
            <w:vAlign w:val="center"/>
          </w:tcPr>
          <w:p w14:paraId="678BB498">
            <w:pPr>
              <w:jc w:val="center"/>
              <w:rPr>
                <w:rFonts w:asciiTheme="minorEastAsia" w:hAnsiTheme="minorEastAsia" w:eastAsiaTheme="minorEastAsia" w:cstheme="minorEastAsia"/>
              </w:rPr>
            </w:pPr>
            <w:r>
              <w:rPr>
                <w:rFonts w:hint="eastAsia" w:asciiTheme="minorEastAsia" w:hAnsiTheme="minorEastAsia" w:eastAsiaTheme="minorEastAsia" w:cstheme="minorEastAsia"/>
                <w:kern w:val="0"/>
                <w:sz w:val="18"/>
                <w:szCs w:val="21"/>
              </w:rPr>
              <w:t>约束性</w:t>
            </w:r>
          </w:p>
        </w:tc>
      </w:tr>
      <w:tr w14:paraId="31E20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vAlign w:val="center"/>
          </w:tcPr>
          <w:p w14:paraId="260F86D5">
            <w:pPr>
              <w:widowControl w:val="0"/>
              <w:spacing w:line="240" w:lineRule="auto"/>
              <w:jc w:val="center"/>
              <w:rPr>
                <w:rFonts w:asciiTheme="minorEastAsia" w:hAnsiTheme="minorEastAsia" w:eastAsiaTheme="minorEastAsia" w:cstheme="minorEastAsia"/>
                <w:kern w:val="0"/>
                <w:sz w:val="18"/>
                <w:szCs w:val="21"/>
              </w:rPr>
            </w:pPr>
          </w:p>
        </w:tc>
        <w:tc>
          <w:tcPr>
            <w:tcW w:w="675" w:type="dxa"/>
            <w:vAlign w:val="center"/>
          </w:tcPr>
          <w:p w14:paraId="6178916B">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9</w:t>
            </w:r>
          </w:p>
        </w:tc>
        <w:tc>
          <w:tcPr>
            <w:tcW w:w="2126" w:type="dxa"/>
            <w:vAlign w:val="center"/>
          </w:tcPr>
          <w:p w14:paraId="5DC53308">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氮氧化物排放量减排</w:t>
            </w:r>
          </w:p>
        </w:tc>
        <w:tc>
          <w:tcPr>
            <w:tcW w:w="567" w:type="dxa"/>
            <w:vMerge w:val="continue"/>
            <w:vAlign w:val="center"/>
          </w:tcPr>
          <w:p w14:paraId="76708C88">
            <w:pPr>
              <w:widowControl w:val="0"/>
              <w:spacing w:line="240" w:lineRule="auto"/>
              <w:jc w:val="center"/>
              <w:rPr>
                <w:rFonts w:asciiTheme="minorEastAsia" w:hAnsiTheme="minorEastAsia" w:eastAsiaTheme="minorEastAsia" w:cstheme="minorEastAsia"/>
                <w:kern w:val="0"/>
                <w:sz w:val="18"/>
                <w:szCs w:val="21"/>
              </w:rPr>
            </w:pPr>
          </w:p>
        </w:tc>
        <w:tc>
          <w:tcPr>
            <w:tcW w:w="1417" w:type="dxa"/>
            <w:shd w:val="clear" w:color="auto" w:fill="auto"/>
            <w:vAlign w:val="center"/>
          </w:tcPr>
          <w:p w14:paraId="38349B83">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较2015年减排比列63.4％</w:t>
            </w:r>
          </w:p>
        </w:tc>
        <w:tc>
          <w:tcPr>
            <w:tcW w:w="2264" w:type="dxa"/>
            <w:shd w:val="clear" w:color="auto" w:fill="auto"/>
            <w:vAlign w:val="center"/>
          </w:tcPr>
          <w:p w14:paraId="0F616D67">
            <w:pPr>
              <w:jc w:val="center"/>
              <w:rPr>
                <w:rFonts w:asciiTheme="minorEastAsia" w:hAnsiTheme="minorEastAsia" w:eastAsiaTheme="minorEastAsia" w:cstheme="minorEastAsia"/>
              </w:rPr>
            </w:pPr>
            <w:r>
              <w:rPr>
                <w:rFonts w:hint="eastAsia" w:asciiTheme="minorEastAsia" w:hAnsiTheme="minorEastAsia" w:eastAsiaTheme="minorEastAsia" w:cstheme="minorEastAsia"/>
                <w:sz w:val="18"/>
                <w:szCs w:val="18"/>
              </w:rPr>
              <w:t>完成上级下达目标任务</w:t>
            </w:r>
          </w:p>
        </w:tc>
        <w:tc>
          <w:tcPr>
            <w:tcW w:w="930" w:type="dxa"/>
            <w:shd w:val="clear" w:color="auto" w:fill="auto"/>
            <w:vAlign w:val="center"/>
          </w:tcPr>
          <w:p w14:paraId="6EC6A9E0">
            <w:pPr>
              <w:jc w:val="center"/>
              <w:rPr>
                <w:rFonts w:asciiTheme="minorEastAsia" w:hAnsiTheme="minorEastAsia" w:eastAsiaTheme="minorEastAsia" w:cstheme="minorEastAsia"/>
              </w:rPr>
            </w:pPr>
            <w:r>
              <w:rPr>
                <w:rFonts w:hint="eastAsia" w:asciiTheme="minorEastAsia" w:hAnsiTheme="minorEastAsia" w:eastAsiaTheme="minorEastAsia" w:cstheme="minorEastAsia"/>
                <w:kern w:val="0"/>
                <w:sz w:val="18"/>
                <w:szCs w:val="21"/>
              </w:rPr>
              <w:t>约束性</w:t>
            </w:r>
          </w:p>
        </w:tc>
      </w:tr>
      <w:tr w14:paraId="45FC4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vAlign w:val="center"/>
          </w:tcPr>
          <w:p w14:paraId="7A81F98F">
            <w:pPr>
              <w:widowControl w:val="0"/>
              <w:spacing w:line="240" w:lineRule="auto"/>
              <w:jc w:val="center"/>
              <w:rPr>
                <w:rFonts w:asciiTheme="minorEastAsia" w:hAnsiTheme="minorEastAsia" w:eastAsiaTheme="minorEastAsia" w:cstheme="minorEastAsia"/>
                <w:kern w:val="0"/>
                <w:sz w:val="18"/>
                <w:szCs w:val="21"/>
              </w:rPr>
            </w:pPr>
          </w:p>
        </w:tc>
        <w:tc>
          <w:tcPr>
            <w:tcW w:w="675" w:type="dxa"/>
            <w:vAlign w:val="center"/>
          </w:tcPr>
          <w:p w14:paraId="72CFF949">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10</w:t>
            </w:r>
          </w:p>
        </w:tc>
        <w:tc>
          <w:tcPr>
            <w:tcW w:w="2126" w:type="dxa"/>
            <w:vAlign w:val="center"/>
          </w:tcPr>
          <w:p w14:paraId="016D5AEB">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生活污水有效处理的</w:t>
            </w:r>
          </w:p>
          <w:p w14:paraId="62F0E6FC">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行政村比例</w:t>
            </w:r>
          </w:p>
        </w:tc>
        <w:tc>
          <w:tcPr>
            <w:tcW w:w="567" w:type="dxa"/>
            <w:vAlign w:val="center"/>
          </w:tcPr>
          <w:p w14:paraId="67BC32AD">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w:t>
            </w:r>
          </w:p>
        </w:tc>
        <w:tc>
          <w:tcPr>
            <w:tcW w:w="1417" w:type="dxa"/>
            <w:shd w:val="clear" w:color="auto" w:fill="auto"/>
            <w:vAlign w:val="center"/>
          </w:tcPr>
          <w:p w14:paraId="6F0B49B2">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46</w:t>
            </w:r>
          </w:p>
        </w:tc>
        <w:tc>
          <w:tcPr>
            <w:tcW w:w="2264" w:type="dxa"/>
            <w:shd w:val="clear" w:color="auto" w:fill="auto"/>
            <w:vAlign w:val="center"/>
          </w:tcPr>
          <w:p w14:paraId="00C7CB6F">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90</w:t>
            </w:r>
          </w:p>
        </w:tc>
        <w:tc>
          <w:tcPr>
            <w:tcW w:w="930" w:type="dxa"/>
            <w:shd w:val="clear" w:color="auto" w:fill="auto"/>
            <w:vAlign w:val="center"/>
          </w:tcPr>
          <w:p w14:paraId="757E97D3">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预期性</w:t>
            </w:r>
          </w:p>
        </w:tc>
      </w:tr>
      <w:tr w14:paraId="6FB7E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vAlign w:val="center"/>
          </w:tcPr>
          <w:p w14:paraId="53EB1315">
            <w:pPr>
              <w:widowControl w:val="0"/>
              <w:spacing w:line="240" w:lineRule="auto"/>
              <w:jc w:val="center"/>
              <w:rPr>
                <w:rFonts w:asciiTheme="minorEastAsia" w:hAnsiTheme="minorEastAsia" w:eastAsiaTheme="minorEastAsia" w:cstheme="minorEastAsia"/>
                <w:kern w:val="0"/>
                <w:sz w:val="18"/>
                <w:szCs w:val="21"/>
              </w:rPr>
            </w:pPr>
          </w:p>
        </w:tc>
        <w:tc>
          <w:tcPr>
            <w:tcW w:w="675" w:type="dxa"/>
            <w:vAlign w:val="center"/>
          </w:tcPr>
          <w:p w14:paraId="05448F77">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11</w:t>
            </w:r>
          </w:p>
        </w:tc>
        <w:tc>
          <w:tcPr>
            <w:tcW w:w="2126" w:type="dxa"/>
            <w:shd w:val="clear" w:color="auto" w:fill="auto"/>
            <w:vAlign w:val="center"/>
          </w:tcPr>
          <w:p w14:paraId="46521DED">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城镇生活污水处理率</w:t>
            </w:r>
          </w:p>
        </w:tc>
        <w:tc>
          <w:tcPr>
            <w:tcW w:w="567" w:type="dxa"/>
            <w:shd w:val="clear" w:color="auto" w:fill="auto"/>
            <w:vAlign w:val="center"/>
          </w:tcPr>
          <w:p w14:paraId="17DB95AB">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w:t>
            </w:r>
          </w:p>
        </w:tc>
        <w:tc>
          <w:tcPr>
            <w:tcW w:w="1417" w:type="dxa"/>
            <w:shd w:val="clear" w:color="auto" w:fill="auto"/>
            <w:vAlign w:val="center"/>
          </w:tcPr>
          <w:p w14:paraId="1138C6E1">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w:t>
            </w:r>
          </w:p>
        </w:tc>
        <w:tc>
          <w:tcPr>
            <w:tcW w:w="2264" w:type="dxa"/>
            <w:shd w:val="clear" w:color="auto" w:fill="auto"/>
            <w:vAlign w:val="center"/>
          </w:tcPr>
          <w:p w14:paraId="011CCEA1">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95</w:t>
            </w:r>
          </w:p>
        </w:tc>
        <w:tc>
          <w:tcPr>
            <w:tcW w:w="930" w:type="dxa"/>
            <w:shd w:val="clear" w:color="auto" w:fill="auto"/>
            <w:vAlign w:val="center"/>
          </w:tcPr>
          <w:p w14:paraId="4594A769">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约束性</w:t>
            </w:r>
          </w:p>
        </w:tc>
      </w:tr>
      <w:tr w14:paraId="3EF37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restart"/>
            <w:shd w:val="clear" w:color="auto" w:fill="auto"/>
            <w:vAlign w:val="center"/>
          </w:tcPr>
          <w:p w14:paraId="1DCB8753">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应对气候变化</w:t>
            </w:r>
          </w:p>
        </w:tc>
        <w:tc>
          <w:tcPr>
            <w:tcW w:w="675" w:type="dxa"/>
            <w:vAlign w:val="center"/>
          </w:tcPr>
          <w:p w14:paraId="6D2320E6">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12</w:t>
            </w:r>
          </w:p>
        </w:tc>
        <w:tc>
          <w:tcPr>
            <w:tcW w:w="2126" w:type="dxa"/>
            <w:shd w:val="clear" w:color="auto" w:fill="auto"/>
            <w:vAlign w:val="center"/>
          </w:tcPr>
          <w:p w14:paraId="2C18A9C6">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单位地区生产总值能源消耗降低</w:t>
            </w:r>
          </w:p>
        </w:tc>
        <w:tc>
          <w:tcPr>
            <w:tcW w:w="567" w:type="dxa"/>
            <w:shd w:val="clear" w:color="auto" w:fill="auto"/>
            <w:vAlign w:val="center"/>
          </w:tcPr>
          <w:p w14:paraId="61D3A51F">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w:t>
            </w:r>
          </w:p>
        </w:tc>
        <w:tc>
          <w:tcPr>
            <w:tcW w:w="1417" w:type="dxa"/>
            <w:shd w:val="clear" w:color="auto" w:fill="auto"/>
            <w:vAlign w:val="center"/>
          </w:tcPr>
          <w:p w14:paraId="35937834">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w:t>
            </w:r>
          </w:p>
        </w:tc>
        <w:tc>
          <w:tcPr>
            <w:tcW w:w="2264" w:type="dxa"/>
            <w:shd w:val="clear" w:color="auto" w:fill="auto"/>
            <w:vAlign w:val="center"/>
          </w:tcPr>
          <w:p w14:paraId="415E5249">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完成上级下达目标任务</w:t>
            </w:r>
          </w:p>
        </w:tc>
        <w:tc>
          <w:tcPr>
            <w:tcW w:w="930" w:type="dxa"/>
            <w:shd w:val="clear" w:color="auto" w:fill="auto"/>
            <w:vAlign w:val="center"/>
          </w:tcPr>
          <w:p w14:paraId="79AC71DA">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约束性</w:t>
            </w:r>
          </w:p>
        </w:tc>
      </w:tr>
      <w:tr w14:paraId="1D0E5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vAlign w:val="center"/>
          </w:tcPr>
          <w:p w14:paraId="29199E12">
            <w:pPr>
              <w:widowControl w:val="0"/>
              <w:spacing w:line="240" w:lineRule="auto"/>
              <w:jc w:val="center"/>
              <w:rPr>
                <w:rFonts w:asciiTheme="minorEastAsia" w:hAnsiTheme="minorEastAsia" w:eastAsiaTheme="minorEastAsia" w:cstheme="minorEastAsia"/>
                <w:kern w:val="0"/>
                <w:sz w:val="18"/>
                <w:szCs w:val="21"/>
              </w:rPr>
            </w:pPr>
          </w:p>
        </w:tc>
        <w:tc>
          <w:tcPr>
            <w:tcW w:w="675" w:type="dxa"/>
            <w:vAlign w:val="center"/>
          </w:tcPr>
          <w:p w14:paraId="7D760652">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13</w:t>
            </w:r>
          </w:p>
        </w:tc>
        <w:tc>
          <w:tcPr>
            <w:tcW w:w="2126" w:type="dxa"/>
            <w:shd w:val="clear" w:color="auto" w:fill="auto"/>
            <w:vAlign w:val="center"/>
          </w:tcPr>
          <w:p w14:paraId="488DA731">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单位地区生产总值二氧化碳排放降低</w:t>
            </w:r>
          </w:p>
        </w:tc>
        <w:tc>
          <w:tcPr>
            <w:tcW w:w="567" w:type="dxa"/>
            <w:shd w:val="clear" w:color="auto" w:fill="auto"/>
            <w:vAlign w:val="center"/>
          </w:tcPr>
          <w:p w14:paraId="5CB4E634">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w:t>
            </w:r>
          </w:p>
        </w:tc>
        <w:tc>
          <w:tcPr>
            <w:tcW w:w="1417" w:type="dxa"/>
            <w:shd w:val="clear" w:color="auto" w:fill="auto"/>
            <w:vAlign w:val="center"/>
          </w:tcPr>
          <w:p w14:paraId="568EACAD">
            <w:pPr>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较2015年降低1.5%</w:t>
            </w:r>
          </w:p>
        </w:tc>
        <w:tc>
          <w:tcPr>
            <w:tcW w:w="2264" w:type="dxa"/>
            <w:shd w:val="clear" w:color="auto" w:fill="auto"/>
            <w:vAlign w:val="center"/>
          </w:tcPr>
          <w:p w14:paraId="12164EC6">
            <w:pPr>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较2020年降低1.5%</w:t>
            </w:r>
          </w:p>
        </w:tc>
        <w:tc>
          <w:tcPr>
            <w:tcW w:w="930" w:type="dxa"/>
            <w:shd w:val="clear" w:color="auto" w:fill="auto"/>
            <w:vAlign w:val="center"/>
          </w:tcPr>
          <w:p w14:paraId="0F33E992">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约束性</w:t>
            </w:r>
          </w:p>
        </w:tc>
      </w:tr>
      <w:tr w14:paraId="0E77F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vAlign w:val="center"/>
          </w:tcPr>
          <w:p w14:paraId="60841748">
            <w:pPr>
              <w:widowControl w:val="0"/>
              <w:spacing w:line="240" w:lineRule="auto"/>
              <w:jc w:val="center"/>
              <w:rPr>
                <w:rFonts w:asciiTheme="minorEastAsia" w:hAnsiTheme="minorEastAsia" w:eastAsiaTheme="minorEastAsia" w:cstheme="minorEastAsia"/>
                <w:kern w:val="0"/>
                <w:sz w:val="18"/>
                <w:szCs w:val="21"/>
              </w:rPr>
            </w:pPr>
          </w:p>
        </w:tc>
        <w:tc>
          <w:tcPr>
            <w:tcW w:w="675" w:type="dxa"/>
            <w:vAlign w:val="center"/>
          </w:tcPr>
          <w:p w14:paraId="0EE3561C">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14</w:t>
            </w:r>
          </w:p>
        </w:tc>
        <w:tc>
          <w:tcPr>
            <w:tcW w:w="2126" w:type="dxa"/>
            <w:shd w:val="clear" w:color="auto" w:fill="auto"/>
            <w:vAlign w:val="center"/>
          </w:tcPr>
          <w:p w14:paraId="5C0C215B">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非化石能源占能源消费比例</w:t>
            </w:r>
          </w:p>
        </w:tc>
        <w:tc>
          <w:tcPr>
            <w:tcW w:w="567" w:type="dxa"/>
            <w:shd w:val="clear" w:color="auto" w:fill="auto"/>
            <w:vAlign w:val="center"/>
          </w:tcPr>
          <w:p w14:paraId="538D738F">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w:t>
            </w:r>
          </w:p>
        </w:tc>
        <w:tc>
          <w:tcPr>
            <w:tcW w:w="1417" w:type="dxa"/>
            <w:shd w:val="clear" w:color="auto" w:fill="auto"/>
            <w:vAlign w:val="center"/>
          </w:tcPr>
          <w:p w14:paraId="7800BF4C">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w:t>
            </w:r>
          </w:p>
        </w:tc>
        <w:tc>
          <w:tcPr>
            <w:tcW w:w="2264" w:type="dxa"/>
            <w:shd w:val="clear" w:color="auto" w:fill="auto"/>
            <w:vAlign w:val="center"/>
          </w:tcPr>
          <w:p w14:paraId="0691A0C7">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完成上级下达目标任务</w:t>
            </w:r>
          </w:p>
        </w:tc>
        <w:tc>
          <w:tcPr>
            <w:tcW w:w="930" w:type="dxa"/>
            <w:shd w:val="clear" w:color="auto" w:fill="auto"/>
            <w:vAlign w:val="center"/>
          </w:tcPr>
          <w:p w14:paraId="708EFF0A">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约束性</w:t>
            </w:r>
          </w:p>
        </w:tc>
      </w:tr>
      <w:tr w14:paraId="5F83A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restart"/>
            <w:vAlign w:val="center"/>
          </w:tcPr>
          <w:p w14:paraId="69A69BF4">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环境风险防控</w:t>
            </w:r>
          </w:p>
        </w:tc>
        <w:tc>
          <w:tcPr>
            <w:tcW w:w="675" w:type="dxa"/>
            <w:vAlign w:val="center"/>
          </w:tcPr>
          <w:p w14:paraId="0FE1BED3">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15</w:t>
            </w:r>
          </w:p>
        </w:tc>
        <w:tc>
          <w:tcPr>
            <w:tcW w:w="2126" w:type="dxa"/>
            <w:shd w:val="clear" w:color="auto" w:fill="auto"/>
            <w:vAlign w:val="center"/>
          </w:tcPr>
          <w:p w14:paraId="09565AC1">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受污染耕地安全利用率</w:t>
            </w:r>
          </w:p>
        </w:tc>
        <w:tc>
          <w:tcPr>
            <w:tcW w:w="567" w:type="dxa"/>
            <w:shd w:val="clear" w:color="auto" w:fill="auto"/>
            <w:vAlign w:val="center"/>
          </w:tcPr>
          <w:p w14:paraId="3454A599">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w:t>
            </w:r>
          </w:p>
        </w:tc>
        <w:tc>
          <w:tcPr>
            <w:tcW w:w="1417" w:type="dxa"/>
            <w:shd w:val="clear" w:color="auto" w:fill="auto"/>
            <w:vAlign w:val="center"/>
          </w:tcPr>
          <w:p w14:paraId="47C731E1">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w:t>
            </w:r>
          </w:p>
        </w:tc>
        <w:tc>
          <w:tcPr>
            <w:tcW w:w="2264" w:type="dxa"/>
            <w:shd w:val="clear" w:color="auto" w:fill="auto"/>
            <w:vAlign w:val="center"/>
          </w:tcPr>
          <w:p w14:paraId="77DB08E8">
            <w:pPr>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完成上级下达目标任务</w:t>
            </w:r>
          </w:p>
        </w:tc>
        <w:tc>
          <w:tcPr>
            <w:tcW w:w="930" w:type="dxa"/>
            <w:shd w:val="clear" w:color="auto" w:fill="auto"/>
            <w:vAlign w:val="center"/>
          </w:tcPr>
          <w:p w14:paraId="176EB302">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约束性</w:t>
            </w:r>
          </w:p>
        </w:tc>
      </w:tr>
      <w:tr w14:paraId="00276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vAlign w:val="center"/>
          </w:tcPr>
          <w:p w14:paraId="06B7F031">
            <w:pPr>
              <w:widowControl w:val="0"/>
              <w:spacing w:line="240" w:lineRule="auto"/>
              <w:jc w:val="center"/>
              <w:rPr>
                <w:rFonts w:asciiTheme="minorEastAsia" w:hAnsiTheme="minorEastAsia" w:eastAsiaTheme="minorEastAsia" w:cstheme="minorEastAsia"/>
                <w:kern w:val="0"/>
                <w:sz w:val="18"/>
                <w:szCs w:val="21"/>
              </w:rPr>
            </w:pPr>
          </w:p>
        </w:tc>
        <w:tc>
          <w:tcPr>
            <w:tcW w:w="675" w:type="dxa"/>
            <w:vAlign w:val="center"/>
          </w:tcPr>
          <w:p w14:paraId="6D1FB5A7">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16</w:t>
            </w:r>
          </w:p>
        </w:tc>
        <w:tc>
          <w:tcPr>
            <w:tcW w:w="2126" w:type="dxa"/>
            <w:shd w:val="clear" w:color="auto" w:fill="auto"/>
            <w:vAlign w:val="center"/>
          </w:tcPr>
          <w:p w14:paraId="452154BA">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重点建设用地安全利用</w:t>
            </w:r>
          </w:p>
        </w:tc>
        <w:tc>
          <w:tcPr>
            <w:tcW w:w="567" w:type="dxa"/>
            <w:shd w:val="clear" w:color="auto" w:fill="auto"/>
            <w:vAlign w:val="center"/>
          </w:tcPr>
          <w:p w14:paraId="75F85C9F">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w:t>
            </w:r>
          </w:p>
        </w:tc>
        <w:tc>
          <w:tcPr>
            <w:tcW w:w="1417" w:type="dxa"/>
            <w:shd w:val="clear" w:color="auto" w:fill="auto"/>
            <w:vAlign w:val="center"/>
          </w:tcPr>
          <w:p w14:paraId="43FB2135">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w:t>
            </w:r>
          </w:p>
        </w:tc>
        <w:tc>
          <w:tcPr>
            <w:tcW w:w="2264" w:type="dxa"/>
            <w:shd w:val="clear" w:color="auto" w:fill="auto"/>
            <w:vAlign w:val="center"/>
          </w:tcPr>
          <w:p w14:paraId="59F6B158">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完成上级下达目标</w:t>
            </w:r>
          </w:p>
        </w:tc>
        <w:tc>
          <w:tcPr>
            <w:tcW w:w="930" w:type="dxa"/>
            <w:shd w:val="clear" w:color="auto" w:fill="auto"/>
            <w:vAlign w:val="center"/>
          </w:tcPr>
          <w:p w14:paraId="0007583B">
            <w:pPr>
              <w:widowControl w:val="0"/>
              <w:spacing w:line="240" w:lineRule="auto"/>
              <w:jc w:val="center"/>
              <w:rPr>
                <w:rFonts w:asciiTheme="minorEastAsia" w:hAnsiTheme="minorEastAsia" w:eastAsiaTheme="minorEastAsia" w:cstheme="minorEastAsia"/>
                <w:kern w:val="0"/>
                <w:sz w:val="18"/>
                <w:szCs w:val="21"/>
              </w:rPr>
            </w:pPr>
          </w:p>
        </w:tc>
      </w:tr>
      <w:tr w14:paraId="3F2BA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restart"/>
            <w:vAlign w:val="center"/>
          </w:tcPr>
          <w:p w14:paraId="6085F9D6">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生态保护</w:t>
            </w:r>
          </w:p>
        </w:tc>
        <w:tc>
          <w:tcPr>
            <w:tcW w:w="675" w:type="dxa"/>
            <w:vAlign w:val="center"/>
          </w:tcPr>
          <w:p w14:paraId="439F6793">
            <w:pPr>
              <w:pStyle w:val="33"/>
              <w:wordWrap/>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17</w:t>
            </w:r>
          </w:p>
        </w:tc>
        <w:tc>
          <w:tcPr>
            <w:tcW w:w="2126" w:type="dxa"/>
            <w:shd w:val="clear" w:color="auto" w:fill="auto"/>
            <w:vAlign w:val="center"/>
          </w:tcPr>
          <w:p w14:paraId="31EF7E9C">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森林覆盖率</w:t>
            </w:r>
          </w:p>
        </w:tc>
        <w:tc>
          <w:tcPr>
            <w:tcW w:w="567" w:type="dxa"/>
            <w:shd w:val="clear" w:color="auto" w:fill="auto"/>
            <w:vAlign w:val="center"/>
          </w:tcPr>
          <w:p w14:paraId="1FB13461">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w:t>
            </w:r>
          </w:p>
        </w:tc>
        <w:tc>
          <w:tcPr>
            <w:tcW w:w="1417" w:type="dxa"/>
            <w:shd w:val="clear" w:color="auto" w:fill="auto"/>
            <w:vAlign w:val="center"/>
          </w:tcPr>
          <w:p w14:paraId="7B746AE4">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42.06</w:t>
            </w:r>
          </w:p>
        </w:tc>
        <w:tc>
          <w:tcPr>
            <w:tcW w:w="2264" w:type="dxa"/>
            <w:shd w:val="clear" w:color="auto" w:fill="auto"/>
            <w:vAlign w:val="center"/>
          </w:tcPr>
          <w:p w14:paraId="49C230F6">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42.1</w:t>
            </w:r>
          </w:p>
        </w:tc>
        <w:tc>
          <w:tcPr>
            <w:tcW w:w="930" w:type="dxa"/>
            <w:shd w:val="clear" w:color="auto" w:fill="auto"/>
            <w:vAlign w:val="center"/>
          </w:tcPr>
          <w:p w14:paraId="39C54AFB">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约束性</w:t>
            </w:r>
          </w:p>
        </w:tc>
      </w:tr>
      <w:tr w14:paraId="4A662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vAlign w:val="center"/>
          </w:tcPr>
          <w:p w14:paraId="04E81398">
            <w:pPr>
              <w:widowControl w:val="0"/>
              <w:spacing w:line="240" w:lineRule="auto"/>
              <w:jc w:val="center"/>
              <w:rPr>
                <w:rFonts w:asciiTheme="minorEastAsia" w:hAnsiTheme="minorEastAsia" w:eastAsiaTheme="minorEastAsia" w:cstheme="minorEastAsia"/>
                <w:kern w:val="0"/>
                <w:sz w:val="18"/>
                <w:szCs w:val="21"/>
              </w:rPr>
            </w:pPr>
          </w:p>
        </w:tc>
        <w:tc>
          <w:tcPr>
            <w:tcW w:w="675" w:type="dxa"/>
            <w:vAlign w:val="center"/>
          </w:tcPr>
          <w:p w14:paraId="7AE497CF">
            <w:pPr>
              <w:pStyle w:val="33"/>
              <w:wordWrap/>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18</w:t>
            </w:r>
          </w:p>
        </w:tc>
        <w:tc>
          <w:tcPr>
            <w:tcW w:w="2126" w:type="dxa"/>
            <w:shd w:val="clear" w:color="auto" w:fill="auto"/>
            <w:vAlign w:val="center"/>
          </w:tcPr>
          <w:p w14:paraId="6B193DAA">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生态质量指数（EQI）</w:t>
            </w:r>
          </w:p>
        </w:tc>
        <w:tc>
          <w:tcPr>
            <w:tcW w:w="567" w:type="dxa"/>
            <w:shd w:val="clear" w:color="auto" w:fill="auto"/>
            <w:vAlign w:val="center"/>
          </w:tcPr>
          <w:p w14:paraId="4A675D67">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w:t>
            </w:r>
          </w:p>
        </w:tc>
        <w:tc>
          <w:tcPr>
            <w:tcW w:w="1417" w:type="dxa"/>
            <w:shd w:val="clear" w:color="auto" w:fill="auto"/>
            <w:vAlign w:val="center"/>
          </w:tcPr>
          <w:p w14:paraId="60CFF2C8">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w:t>
            </w:r>
          </w:p>
        </w:tc>
        <w:tc>
          <w:tcPr>
            <w:tcW w:w="2264" w:type="dxa"/>
            <w:shd w:val="clear" w:color="auto" w:fill="auto"/>
            <w:vAlign w:val="center"/>
          </w:tcPr>
          <w:p w14:paraId="60B71FAE">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稳中向好</w:t>
            </w:r>
          </w:p>
        </w:tc>
        <w:tc>
          <w:tcPr>
            <w:tcW w:w="930" w:type="dxa"/>
            <w:shd w:val="clear" w:color="auto" w:fill="auto"/>
            <w:vAlign w:val="center"/>
          </w:tcPr>
          <w:p w14:paraId="7A197AD1">
            <w:pPr>
              <w:widowControl w:val="0"/>
              <w:spacing w:line="240" w:lineRule="auto"/>
              <w:jc w:val="center"/>
              <w:rPr>
                <w:rFonts w:asciiTheme="minorEastAsia" w:hAnsiTheme="minorEastAsia" w:eastAsiaTheme="minorEastAsia" w:cstheme="minorEastAsia"/>
                <w:kern w:val="0"/>
                <w:sz w:val="18"/>
                <w:szCs w:val="21"/>
              </w:rPr>
            </w:pPr>
            <w:r>
              <w:rPr>
                <w:rFonts w:hint="eastAsia" w:asciiTheme="minorEastAsia" w:hAnsiTheme="minorEastAsia" w:eastAsiaTheme="minorEastAsia" w:cstheme="minorEastAsia"/>
                <w:kern w:val="0"/>
                <w:sz w:val="18"/>
                <w:szCs w:val="21"/>
              </w:rPr>
              <w:t>约束性</w:t>
            </w:r>
          </w:p>
        </w:tc>
      </w:tr>
    </w:tbl>
    <w:p w14:paraId="7FE4B49E">
      <w:pPr>
        <w:pStyle w:val="4"/>
        <w:jc w:val="left"/>
        <w:rPr>
          <w:sz w:val="32"/>
        </w:rPr>
      </w:pPr>
      <w:bookmarkStart w:id="19" w:name="_Toc115020789"/>
      <w:r>
        <w:rPr>
          <w:rFonts w:hint="eastAsia"/>
          <w:sz w:val="32"/>
        </w:rPr>
        <w:t>四、主要任务与重点工程</w:t>
      </w:r>
      <w:bookmarkEnd w:id="19"/>
    </w:p>
    <w:p w14:paraId="777BFE3D">
      <w:pPr>
        <w:pStyle w:val="5"/>
        <w:spacing w:before="0" w:after="0"/>
        <w:ind w:firstLine="602" w:firstLineChars="200"/>
        <w:rPr>
          <w:rFonts w:ascii="仿宋" w:hAnsi="仿宋" w:eastAsia="仿宋"/>
        </w:rPr>
      </w:pPr>
      <w:bookmarkStart w:id="20" w:name="_Toc115020790"/>
      <w:r>
        <w:rPr>
          <w:rFonts w:hint="eastAsia" w:ascii="仿宋" w:hAnsi="仿宋" w:eastAsia="仿宋"/>
        </w:rPr>
        <w:t>（一）强化</w:t>
      </w:r>
      <w:r>
        <w:rPr>
          <w:rFonts w:ascii="仿宋" w:hAnsi="仿宋" w:eastAsia="仿宋"/>
        </w:rPr>
        <w:t>生态空间管控</w:t>
      </w:r>
      <w:bookmarkEnd w:id="20"/>
    </w:p>
    <w:p w14:paraId="4DDDF005">
      <w:pPr>
        <w:pStyle w:val="2"/>
        <w:adjustRightInd w:val="0"/>
        <w:snapToGrid w:val="0"/>
        <w:spacing w:after="0"/>
        <w:ind w:left="0" w:leftChars="0" w:firstLine="562"/>
        <w:rPr>
          <w:rFonts w:ascii="宋体" w:hAnsi="宋体" w:eastAsia="宋体" w:cs="宋体"/>
          <w:b/>
          <w:kern w:val="0"/>
          <w:szCs w:val="28"/>
        </w:rPr>
      </w:pPr>
      <w:r>
        <w:rPr>
          <w:rFonts w:hint="eastAsia" w:ascii="宋体" w:hAnsi="宋体" w:eastAsia="宋体" w:cs="宋体"/>
          <w:b/>
          <w:kern w:val="0"/>
          <w:szCs w:val="28"/>
        </w:rPr>
        <w:t>1、强化生态环境宏观调控</w:t>
      </w:r>
    </w:p>
    <w:p w14:paraId="30E00193">
      <w:pPr>
        <w:pStyle w:val="2"/>
        <w:adjustRightInd w:val="0"/>
        <w:snapToGrid w:val="0"/>
        <w:spacing w:after="0"/>
        <w:ind w:left="0" w:leftChars="0" w:firstLine="560"/>
        <w:rPr>
          <w:rFonts w:ascii="宋体" w:hAnsi="宋体" w:eastAsia="宋体" w:cs="宋体"/>
          <w:kern w:val="0"/>
          <w:szCs w:val="28"/>
        </w:rPr>
      </w:pPr>
      <w:r>
        <w:rPr>
          <w:rFonts w:ascii="宋体" w:hAnsi="宋体" w:eastAsia="宋体" w:cs="宋体"/>
          <w:kern w:val="0"/>
          <w:szCs w:val="28"/>
        </w:rPr>
        <w:t>强化资源利用上线约束，严格落实水资源、土地资源和能源利用上线。</w:t>
      </w:r>
      <w:r>
        <w:rPr>
          <w:rFonts w:hint="eastAsia" w:ascii="宋体" w:hAnsi="宋体" w:eastAsia="宋体" w:cs="宋体"/>
          <w:kern w:val="0"/>
          <w:szCs w:val="28"/>
        </w:rPr>
        <w:t>持续开展“三线一单”成果应用完善工作，充分衔接国土空间规划，进一步优化完善生态环境分区管控成果，加强环境风险防控。逐步建立较为完善的生态环境分区管控体系。强化环境准入清单管控要求，严格准入门槛，促进精细化管理，服务高质量发展。</w:t>
      </w:r>
    </w:p>
    <w:p w14:paraId="44313E41">
      <w:pPr>
        <w:ind w:firstLine="562" w:firstLineChars="200"/>
        <w:rPr>
          <w:rFonts w:ascii="宋体" w:hAnsi="宋体" w:eastAsia="宋体" w:cs="宋体"/>
          <w:b/>
          <w:kern w:val="0"/>
          <w:szCs w:val="28"/>
        </w:rPr>
      </w:pPr>
      <w:r>
        <w:rPr>
          <w:rFonts w:hint="eastAsia" w:ascii="宋体" w:hAnsi="宋体" w:eastAsia="宋体" w:cs="宋体"/>
          <w:b/>
          <w:kern w:val="0"/>
          <w:szCs w:val="28"/>
        </w:rPr>
        <w:t>2、优化国土空间布局</w:t>
      </w:r>
    </w:p>
    <w:p w14:paraId="5BA0F9C4">
      <w:pPr>
        <w:ind w:firstLine="560" w:firstLineChars="200"/>
        <w:rPr>
          <w:rFonts w:ascii="宋体" w:hAnsi="宋体" w:eastAsia="宋体" w:cs="宋体"/>
          <w:kern w:val="0"/>
          <w:szCs w:val="28"/>
        </w:rPr>
      </w:pPr>
      <w:r>
        <w:rPr>
          <w:rFonts w:hint="eastAsia" w:ascii="宋体" w:hAnsi="宋体" w:eastAsia="宋体" w:cs="宋体"/>
          <w:kern w:val="0"/>
          <w:szCs w:val="28"/>
        </w:rPr>
        <w:t>坚持“多规合一”，发挥国土空间规划在规划体系中的基础性作用，深入实施主体功能区战略，全面加强国土空间开发保护，构建高质量发展的国土空间布局和支撑体系。按照“一主两副三带”全域空间发展总体布局，全面提升县城区主导地位，推动宝五镇、千佛镇、集益镇与研城街道同城发展；统筹推进马踏镇、周坡镇“一南一北”两个副中心建设；打造北部乡村振兴示范带、中部产城融合示范带、南部三产融合示范带。</w:t>
      </w:r>
      <w:r>
        <w:rPr>
          <w:rFonts w:hint="eastAsia" w:ascii="宋体" w:hAnsi="宋体" w:eastAsia="宋体"/>
          <w:szCs w:val="28"/>
        </w:rPr>
        <w:t>依托县域丘陵广布，溪沟纵横的地貌特征，构建</w:t>
      </w:r>
      <w:r>
        <w:rPr>
          <w:rFonts w:ascii="宋体" w:hAnsi="宋体" w:eastAsia="宋体"/>
          <w:szCs w:val="28"/>
        </w:rPr>
        <w:t>“</w:t>
      </w:r>
      <w:r>
        <w:rPr>
          <w:rFonts w:hint="eastAsia" w:ascii="宋体" w:hAnsi="宋体" w:eastAsia="宋体"/>
          <w:szCs w:val="28"/>
        </w:rPr>
        <w:t>一带四区、三廊多点</w:t>
      </w:r>
      <w:r>
        <w:rPr>
          <w:rFonts w:ascii="宋体" w:hAnsi="宋体" w:eastAsia="宋体"/>
          <w:szCs w:val="28"/>
        </w:rPr>
        <w:t>”</w:t>
      </w:r>
      <w:r>
        <w:rPr>
          <w:rFonts w:hint="eastAsia" w:ascii="宋体" w:hAnsi="宋体" w:eastAsia="宋体"/>
          <w:szCs w:val="28"/>
        </w:rPr>
        <w:t>的</w:t>
      </w:r>
      <w:r>
        <w:rPr>
          <w:rFonts w:ascii="宋体" w:hAnsi="宋体" w:eastAsia="宋体"/>
          <w:szCs w:val="28"/>
        </w:rPr>
        <w:t>生态安全格局。</w:t>
      </w:r>
      <w:r>
        <w:rPr>
          <w:rFonts w:hint="eastAsia" w:ascii="宋体" w:hAnsi="宋体" w:eastAsia="宋体"/>
          <w:szCs w:val="28"/>
        </w:rPr>
        <w:t>（</w:t>
      </w:r>
      <w:r>
        <w:rPr>
          <w:rFonts w:hint="eastAsia" w:ascii="宋体" w:hAnsi="宋体" w:eastAsia="宋体"/>
          <w:b/>
          <w:bCs/>
          <w:szCs w:val="28"/>
        </w:rPr>
        <w:t>一带</w:t>
      </w:r>
      <w:r>
        <w:rPr>
          <w:rFonts w:hint="eastAsia" w:ascii="宋体" w:hAnsi="宋体" w:eastAsia="宋体"/>
          <w:szCs w:val="28"/>
        </w:rPr>
        <w:t>：茫溪河生态保护带；</w:t>
      </w:r>
      <w:r>
        <w:rPr>
          <w:rFonts w:hint="eastAsia" w:ascii="宋体" w:hAnsi="宋体" w:eastAsia="宋体"/>
          <w:bCs/>
          <w:szCs w:val="28"/>
        </w:rPr>
        <w:t>四区</w:t>
      </w:r>
      <w:r>
        <w:rPr>
          <w:rFonts w:hint="eastAsia" w:ascii="宋体" w:hAnsi="宋体" w:eastAsia="宋体"/>
          <w:szCs w:val="28"/>
        </w:rPr>
        <w:t>：北部低山深丘水土保持区、南部低山深丘水土保持区、中部浅丘农果复合生态区、中南部中丘粮油生态区；</w:t>
      </w:r>
      <w:r>
        <w:rPr>
          <w:rFonts w:hint="eastAsia" w:ascii="宋体" w:hAnsi="宋体" w:eastAsia="宋体"/>
          <w:bCs/>
          <w:szCs w:val="28"/>
        </w:rPr>
        <w:t>三廊：</w:t>
      </w:r>
      <w:r>
        <w:rPr>
          <w:rFonts w:hint="eastAsia" w:ascii="宋体" w:hAnsi="宋体" w:eastAsia="宋体"/>
          <w:szCs w:val="28"/>
        </w:rPr>
        <w:t>殷家河生态走廊、东林河生态走廊、月波河生态走廊；</w:t>
      </w:r>
      <w:r>
        <w:rPr>
          <w:rFonts w:hint="eastAsia" w:ascii="宋体" w:hAnsi="宋体" w:eastAsia="宋体"/>
          <w:bCs/>
          <w:szCs w:val="28"/>
        </w:rPr>
        <w:t>多点</w:t>
      </w:r>
      <w:r>
        <w:rPr>
          <w:rFonts w:hint="eastAsia" w:ascii="宋体" w:hAnsi="宋体" w:eastAsia="宋体"/>
          <w:szCs w:val="28"/>
        </w:rPr>
        <w:t>：研溪湿地和众多水库。）</w:t>
      </w:r>
    </w:p>
    <w:p w14:paraId="531AA7D8">
      <w:pPr>
        <w:pStyle w:val="56"/>
        <w:spacing w:line="360" w:lineRule="auto"/>
        <w:ind w:firstLine="562"/>
        <w:rPr>
          <w:rFonts w:ascii="宋体" w:hAnsi="宋体" w:eastAsia="宋体"/>
          <w:b/>
          <w:szCs w:val="28"/>
        </w:rPr>
      </w:pPr>
      <w:r>
        <w:rPr>
          <w:rFonts w:hint="eastAsia" w:ascii="宋体" w:hAnsi="宋体" w:eastAsia="宋体"/>
          <w:b/>
          <w:szCs w:val="28"/>
        </w:rPr>
        <w:t>3、打造绿色生态空间体系</w:t>
      </w:r>
    </w:p>
    <w:p w14:paraId="350A57E4">
      <w:pPr>
        <w:pStyle w:val="56"/>
        <w:spacing w:line="360" w:lineRule="auto"/>
        <w:rPr>
          <w:rFonts w:ascii="宋体" w:hAnsi="宋体" w:eastAsia="宋体"/>
          <w:szCs w:val="28"/>
        </w:rPr>
      </w:pPr>
      <w:r>
        <w:rPr>
          <w:rFonts w:hint="eastAsia" w:ascii="宋体" w:hAnsi="宋体" w:eastAsia="宋体"/>
          <w:szCs w:val="28"/>
        </w:rPr>
        <w:t>强化公园、森林、湿地生态体系的保护与建设，重点推进“公园体系、森林体系、湿地体系”三大体系和“廊道网络、绿道网络”两大网络建设，打造面向居民生活服务的生态网格系统，以城镇绿化、道路绿化、流域绿化、景区绿化、园区绿化、庭院绿化为抓手，加强生态线性空间联通性、系统性和整体绿化水平。</w:t>
      </w:r>
    </w:p>
    <w:p w14:paraId="5FA6A8F5">
      <w:pPr>
        <w:pStyle w:val="5"/>
        <w:spacing w:before="0" w:after="0" w:line="240" w:lineRule="auto"/>
        <w:ind w:firstLine="602" w:firstLineChars="200"/>
        <w:rPr>
          <w:rFonts w:ascii="仿宋" w:hAnsi="仿宋" w:eastAsia="仿宋"/>
        </w:rPr>
      </w:pPr>
      <w:bookmarkStart w:id="21" w:name="_Toc115020791"/>
      <w:r>
        <w:rPr>
          <w:rFonts w:hint="eastAsia" w:ascii="仿宋" w:hAnsi="仿宋" w:eastAsia="仿宋"/>
        </w:rPr>
        <w:t>（二）统筹生态系统保护</w:t>
      </w:r>
      <w:bookmarkEnd w:id="21"/>
    </w:p>
    <w:p w14:paraId="1F41ACF2">
      <w:pPr>
        <w:pStyle w:val="2"/>
        <w:adjustRightInd w:val="0"/>
        <w:snapToGrid w:val="0"/>
        <w:spacing w:after="0" w:line="560" w:lineRule="exact"/>
        <w:ind w:left="0" w:leftChars="0" w:firstLine="562"/>
        <w:rPr>
          <w:rFonts w:ascii="宋体" w:hAnsi="宋体" w:eastAsia="宋体"/>
          <w:b/>
          <w:szCs w:val="28"/>
        </w:rPr>
      </w:pPr>
      <w:r>
        <w:rPr>
          <w:rFonts w:hint="eastAsia" w:ascii="宋体" w:hAnsi="宋体" w:eastAsia="宋体"/>
          <w:b/>
          <w:szCs w:val="28"/>
        </w:rPr>
        <w:t>1、开展生物多样性调查与评估</w:t>
      </w:r>
    </w:p>
    <w:p w14:paraId="08E86683">
      <w:pPr>
        <w:pStyle w:val="2"/>
        <w:adjustRightInd w:val="0"/>
        <w:snapToGrid w:val="0"/>
        <w:spacing w:after="0" w:line="560" w:lineRule="exact"/>
        <w:ind w:left="0" w:leftChars="0" w:firstLine="560"/>
        <w:rPr>
          <w:rFonts w:ascii="宋体" w:hAnsi="宋体" w:eastAsia="宋体" w:cs="宋体"/>
          <w:kern w:val="0"/>
          <w:szCs w:val="28"/>
        </w:rPr>
      </w:pPr>
      <w:r>
        <w:rPr>
          <w:rFonts w:hint="eastAsia" w:ascii="宋体" w:hAnsi="宋体" w:eastAsia="宋体" w:cs="宋体"/>
          <w:kern w:val="0"/>
          <w:szCs w:val="28"/>
        </w:rPr>
        <w:t>推进生物多样性保护战略与行动计划，对井研县境内生物多样性保护优先区域开展生物多样性本底综合调查和评估，针对重点区域、重点流域、重点物种开展专项调查，全面掌握井研县生物多样性的现状，尽快建立有关生物物种变化的数据库，完成生物多样性现状的安全评估。</w:t>
      </w:r>
    </w:p>
    <w:p w14:paraId="103ABC09">
      <w:pPr>
        <w:pStyle w:val="2"/>
        <w:adjustRightInd w:val="0"/>
        <w:snapToGrid w:val="0"/>
        <w:spacing w:after="0" w:line="560" w:lineRule="exact"/>
        <w:ind w:left="0" w:leftChars="0" w:firstLine="562"/>
        <w:rPr>
          <w:rFonts w:ascii="宋体" w:hAnsi="宋体" w:eastAsia="宋体" w:cs="宋体"/>
          <w:b/>
          <w:bCs/>
          <w:kern w:val="0"/>
          <w:szCs w:val="28"/>
        </w:rPr>
      </w:pPr>
      <w:r>
        <w:rPr>
          <w:rFonts w:hint="eastAsia" w:ascii="宋体" w:hAnsi="宋体" w:eastAsia="宋体" w:cs="宋体"/>
          <w:b/>
          <w:bCs/>
          <w:kern w:val="0"/>
          <w:szCs w:val="28"/>
        </w:rPr>
        <w:t>2、保护森林生态系统</w:t>
      </w:r>
    </w:p>
    <w:p w14:paraId="13C511E1">
      <w:pPr>
        <w:pStyle w:val="2"/>
        <w:adjustRightInd w:val="0"/>
        <w:snapToGrid w:val="0"/>
        <w:spacing w:after="0" w:line="560" w:lineRule="exact"/>
        <w:ind w:left="0" w:leftChars="0" w:firstLine="560"/>
        <w:rPr>
          <w:rFonts w:ascii="宋体" w:hAnsi="宋体" w:eastAsia="宋体" w:cs="宋体"/>
          <w:kern w:val="0"/>
          <w:szCs w:val="28"/>
        </w:rPr>
      </w:pPr>
      <w:r>
        <w:rPr>
          <w:rFonts w:hint="eastAsia" w:ascii="宋体" w:hAnsi="宋体" w:eastAsia="宋体" w:cs="宋体"/>
          <w:kern w:val="0"/>
          <w:szCs w:val="28"/>
        </w:rPr>
        <w:t>以“生态环境更加优美”作为森林生态建设和保护的重要目标，巩固提升森林改善生态环境、抵御自然灾害的生态功能。完善天然林保护制度，强化天然林保护和抚育。积极争取国家林业项目，有序开展森林质量精准提升。全面推进“林长制”，实施天然林保护修复、退耕还林还草、森林质量精准提升等重点生态工程。完善天然林保护管理制度，规范天然林采伐。十四五期间力争完成森林质量提升6万亩，森林覆盖率保持在42%以上，绿化覆盖率保持在70.4%以上。</w:t>
      </w:r>
    </w:p>
    <w:p w14:paraId="57931B41">
      <w:pPr>
        <w:pStyle w:val="56"/>
        <w:ind w:firstLine="562"/>
        <w:rPr>
          <w:rFonts w:ascii="宋体" w:hAnsi="宋体" w:eastAsia="宋体"/>
          <w:b/>
          <w:szCs w:val="28"/>
        </w:rPr>
      </w:pPr>
      <w:r>
        <w:rPr>
          <w:rFonts w:hint="eastAsia" w:ascii="宋体" w:hAnsi="宋体" w:eastAsia="宋体"/>
          <w:b/>
          <w:szCs w:val="28"/>
        </w:rPr>
        <w:t>3、加强水土流失综合防治</w:t>
      </w:r>
    </w:p>
    <w:p w14:paraId="4F4B51C1">
      <w:pPr>
        <w:pStyle w:val="56"/>
        <w:rPr>
          <w:rFonts w:ascii="宋体" w:hAnsi="宋体" w:eastAsia="宋体"/>
          <w:szCs w:val="28"/>
        </w:rPr>
      </w:pPr>
      <w:r>
        <w:rPr>
          <w:rFonts w:hint="eastAsia" w:ascii="宋体" w:hAnsi="宋体" w:eastAsia="宋体"/>
          <w:szCs w:val="28"/>
        </w:rPr>
        <w:t>科学推进水土流失综合治理，以小流域为单元，实施国家水土保持重点工程建设，采取工程措施、植物措施、农耕措施相结合，开展东林河、研溪河等流域水土流失综合治理，总治理水土流失面积59.25km</w:t>
      </w:r>
      <w:r>
        <w:rPr>
          <w:rFonts w:hint="eastAsia" w:ascii="宋体" w:hAnsi="宋体" w:eastAsia="宋体"/>
          <w:szCs w:val="28"/>
          <w:vertAlign w:val="superscript"/>
        </w:rPr>
        <w:t>2</w:t>
      </w:r>
      <w:r>
        <w:rPr>
          <w:rFonts w:hint="eastAsia" w:ascii="宋体" w:hAnsi="宋体" w:eastAsia="宋体"/>
          <w:szCs w:val="28"/>
        </w:rPr>
        <w:t>，构建与区域经济社会发展相适应的水土流失综合防治体系，提升水源涵养能力。加强水土流失动态监测，完善水土保持监测站网，提升水土保持监测能力和水平。推进生产建设项目水土保持遥感监管全覆盖，加强生产建设项目水土保持方案实施情况跟踪检查，坚决防控人为水土流失。加快水土保持监测能力建设，加强水土保持管理信息化建设，构建连接国家、流域和省级的水土保持数据采集、传输、交换、发布体系。</w:t>
      </w:r>
    </w:p>
    <w:p w14:paraId="7614A8BC">
      <w:pPr>
        <w:pStyle w:val="56"/>
        <w:ind w:firstLine="562"/>
        <w:rPr>
          <w:rFonts w:ascii="宋体" w:hAnsi="宋体" w:eastAsia="宋体"/>
          <w:b/>
          <w:szCs w:val="28"/>
        </w:rPr>
      </w:pPr>
      <w:r>
        <w:rPr>
          <w:rFonts w:hint="eastAsia" w:ascii="宋体" w:hAnsi="宋体" w:eastAsia="宋体"/>
          <w:b/>
          <w:szCs w:val="28"/>
        </w:rPr>
        <w:t>4、</w:t>
      </w:r>
      <w:r>
        <w:rPr>
          <w:rFonts w:ascii="宋体" w:hAnsi="宋体" w:eastAsia="宋体"/>
          <w:b/>
          <w:szCs w:val="28"/>
        </w:rPr>
        <w:t>提升生物安全管理水平</w:t>
      </w:r>
    </w:p>
    <w:p w14:paraId="2B5A2BE4">
      <w:pPr>
        <w:pStyle w:val="56"/>
        <w:rPr>
          <w:rFonts w:ascii="宋体" w:hAnsi="宋体" w:eastAsia="宋体"/>
          <w:szCs w:val="28"/>
        </w:rPr>
      </w:pPr>
      <w:r>
        <w:rPr>
          <w:rFonts w:hint="eastAsia" w:ascii="宋体" w:hAnsi="宋体" w:eastAsia="宋体"/>
          <w:szCs w:val="28"/>
        </w:rPr>
        <w:t>严格落实生物安全法，建立健全生物技术环境安全评估与监管技术支撑体系，充分整合现有监测基础，合理布局监测站点。完善监测信息报告系统，建立生物安全培训、跟踪检查、定期报告等工作制度，制定风险防控计划和生物安全事件应急预案，强化过程管理，保障生物安全。持续提升外来入侵物种防控管理水平。完善外来入侵物种防控县内统筹协调机制，统筹协调解决外来入侵物种防控重大问题。开展外来入侵物种普查，加强农田、渔业水域、森林、湿地等重点区域外来入侵物种的调查、监测、预警、控制、评估、清除、生态修复等工作。完善外来物种入侵防范体系，加强外来物种引入审批管理。</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0"/>
      </w:tblGrid>
      <w:tr w14:paraId="6C674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470" w:type="dxa"/>
            <w:shd w:val="clear" w:color="auto" w:fill="auto"/>
            <w:vAlign w:val="center"/>
          </w:tcPr>
          <w:p w14:paraId="736FCF0B">
            <w:pPr>
              <w:spacing w:line="540" w:lineRule="exact"/>
              <w:jc w:val="center"/>
              <w:rPr>
                <w:rFonts w:eastAsia="黑体"/>
                <w:szCs w:val="21"/>
              </w:rPr>
            </w:pPr>
            <w:r>
              <w:rPr>
                <w:rFonts w:eastAsia="黑体"/>
                <w:b/>
                <w:bCs/>
                <w:szCs w:val="21"/>
              </w:rPr>
              <w:t>专栏</w:t>
            </w:r>
            <w:r>
              <w:rPr>
                <w:rFonts w:hint="eastAsia" w:eastAsia="黑体"/>
                <w:b/>
                <w:bCs/>
                <w:szCs w:val="21"/>
              </w:rPr>
              <w:t>1</w:t>
            </w:r>
            <w:r>
              <w:rPr>
                <w:rFonts w:eastAsia="黑体"/>
                <w:b/>
                <w:bCs/>
                <w:szCs w:val="21"/>
              </w:rPr>
              <w:t xml:space="preserve">  </w:t>
            </w:r>
            <w:r>
              <w:rPr>
                <w:rFonts w:hint="eastAsia" w:eastAsia="黑体"/>
                <w:b/>
                <w:bCs/>
                <w:szCs w:val="21"/>
                <w:lang w:val="zh-CN"/>
              </w:rPr>
              <w:t>生态系统保护</w:t>
            </w:r>
            <w:r>
              <w:rPr>
                <w:rFonts w:eastAsia="黑体"/>
                <w:b/>
                <w:bCs/>
                <w:szCs w:val="21"/>
              </w:rPr>
              <w:t>重点</w:t>
            </w:r>
            <w:r>
              <w:rPr>
                <w:rFonts w:hint="eastAsia" w:eastAsia="黑体"/>
                <w:b/>
                <w:bCs/>
                <w:szCs w:val="21"/>
              </w:rPr>
              <w:t>项目</w:t>
            </w:r>
          </w:p>
        </w:tc>
      </w:tr>
      <w:tr w14:paraId="7F194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8470" w:type="dxa"/>
            <w:vAlign w:val="center"/>
          </w:tcPr>
          <w:p w14:paraId="41DF67BA">
            <w:pPr>
              <w:numPr>
                <w:ilvl w:val="255"/>
                <w:numId w:val="0"/>
              </w:numPr>
              <w:ind w:firstLine="482" w:firstLineChars="200"/>
              <w:rPr>
                <w:sz w:val="24"/>
                <w:szCs w:val="18"/>
              </w:rPr>
            </w:pPr>
            <w:r>
              <w:rPr>
                <w:rFonts w:hint="eastAsia"/>
                <w:b/>
                <w:bCs/>
                <w:sz w:val="24"/>
                <w:szCs w:val="18"/>
              </w:rPr>
              <w:t>1、县域生物多样性调查。</w:t>
            </w:r>
            <w:r>
              <w:rPr>
                <w:rFonts w:hint="eastAsia"/>
                <w:sz w:val="24"/>
                <w:szCs w:val="18"/>
              </w:rPr>
              <w:t>对境内生物多样性保护优先区域开展生物多样性本底综合调查和评估，针对重点区域、重点流域、重点物种开展专项调查，全面掌握井研县生物多样性的现状，建立县域生物多样性数据库和信息平台，完成生物多样性现状的安全评估。</w:t>
            </w:r>
          </w:p>
          <w:p w14:paraId="2DE9B1E4">
            <w:pPr>
              <w:numPr>
                <w:ilvl w:val="255"/>
                <w:numId w:val="0"/>
              </w:numPr>
              <w:ind w:firstLine="482" w:firstLineChars="200"/>
              <w:rPr>
                <w:sz w:val="24"/>
                <w:szCs w:val="18"/>
              </w:rPr>
            </w:pPr>
            <w:r>
              <w:rPr>
                <w:rFonts w:hint="eastAsia"/>
                <w:b/>
                <w:bCs/>
                <w:sz w:val="24"/>
                <w:szCs w:val="18"/>
              </w:rPr>
              <w:t>2、</w:t>
            </w:r>
            <w:r>
              <w:rPr>
                <w:b/>
                <w:bCs/>
                <w:sz w:val="24"/>
                <w:szCs w:val="18"/>
              </w:rPr>
              <w:t>水土流失综合治理。</w:t>
            </w:r>
            <w:r>
              <w:rPr>
                <w:sz w:val="24"/>
                <w:szCs w:val="18"/>
              </w:rPr>
              <w:t>新增水土流失综合治理面积</w:t>
            </w:r>
            <w:r>
              <w:rPr>
                <w:rFonts w:hint="eastAsia"/>
                <w:sz w:val="24"/>
                <w:szCs w:val="18"/>
              </w:rPr>
              <w:t>59.25km2，主要为东林河小流域水土流失综合治理、研溪河小流域水土流失综合治理、月波河流域（黄钵河小流域水土流失综合治理）、泥溪河流域（方家沟小流域水土流失综合治理）、里仁沟小流域水土流失综合治理。</w:t>
            </w:r>
          </w:p>
          <w:p w14:paraId="2A06ACD8">
            <w:pPr>
              <w:pStyle w:val="13"/>
              <w:ind w:firstLine="482" w:firstLineChars="200"/>
              <w:jc w:val="left"/>
            </w:pPr>
            <w:r>
              <w:rPr>
                <w:rFonts w:hint="eastAsia"/>
                <w:b/>
                <w:bCs/>
                <w:sz w:val="24"/>
                <w:szCs w:val="18"/>
              </w:rPr>
              <w:t>3、外来入侵物种防治。</w:t>
            </w:r>
            <w:r>
              <w:rPr>
                <w:rFonts w:hint="eastAsia"/>
                <w:sz w:val="24"/>
                <w:szCs w:val="18"/>
              </w:rPr>
              <w:t>开展县域外来入侵物种专项调查评估，构建外来入侵物种信息数据库。</w:t>
            </w:r>
          </w:p>
        </w:tc>
      </w:tr>
    </w:tbl>
    <w:p w14:paraId="6C6864A5">
      <w:pPr>
        <w:pStyle w:val="5"/>
        <w:spacing w:before="0" w:after="0" w:line="240" w:lineRule="auto"/>
        <w:rPr>
          <w:rFonts w:ascii="仿宋" w:hAnsi="仿宋" w:eastAsia="仿宋"/>
        </w:rPr>
      </w:pPr>
      <w:bookmarkStart w:id="22" w:name="_Toc115020792"/>
      <w:r>
        <w:rPr>
          <w:rFonts w:hint="eastAsia" w:ascii="仿宋" w:hAnsi="仿宋" w:eastAsia="仿宋"/>
        </w:rPr>
        <w:t>（三）积极应对气候变化</w:t>
      </w:r>
      <w:bookmarkEnd w:id="22"/>
    </w:p>
    <w:p w14:paraId="6EFEF3E9">
      <w:pPr>
        <w:pStyle w:val="56"/>
        <w:spacing w:line="360" w:lineRule="auto"/>
        <w:ind w:firstLine="562"/>
        <w:rPr>
          <w:rFonts w:ascii="宋体" w:hAnsi="宋体" w:eastAsia="宋体"/>
          <w:b/>
          <w:szCs w:val="28"/>
        </w:rPr>
      </w:pPr>
      <w:r>
        <w:rPr>
          <w:rFonts w:hint="eastAsia" w:ascii="宋体" w:hAnsi="宋体" w:eastAsia="宋体"/>
          <w:b/>
          <w:szCs w:val="28"/>
        </w:rPr>
        <w:t>1、</w:t>
      </w:r>
      <w:r>
        <w:rPr>
          <w:rFonts w:ascii="宋体" w:hAnsi="宋体" w:eastAsia="宋体"/>
          <w:b/>
          <w:szCs w:val="28"/>
        </w:rPr>
        <w:t>制定碳排放达峰行动方案</w:t>
      </w:r>
    </w:p>
    <w:p w14:paraId="756B087C">
      <w:pPr>
        <w:pStyle w:val="56"/>
        <w:spacing w:line="360" w:lineRule="auto"/>
        <w:rPr>
          <w:rFonts w:ascii="宋体" w:hAnsi="宋体" w:eastAsia="宋体"/>
          <w:b/>
          <w:szCs w:val="28"/>
        </w:rPr>
      </w:pPr>
      <w:r>
        <w:rPr>
          <w:rFonts w:hint="eastAsia" w:ascii="宋体" w:hAnsi="宋体" w:eastAsia="宋体"/>
          <w:szCs w:val="28"/>
        </w:rPr>
        <w:t>科学编制井研县碳排放达峰实施方案，推进井研县工业集中区制定碳达峰工作方案。实施碳排放总量和强度“双控”，有序推进碳排放指标分解，加强过程管理，将碳排放强度降低目标纳入全县高质量发展考核。组织开展温室气体排放核算，编制温室气体排放清单，明确重点地区、重点行业排放源，逐步扩大清单范围。</w:t>
      </w:r>
    </w:p>
    <w:p w14:paraId="59BDD176">
      <w:pPr>
        <w:pStyle w:val="56"/>
        <w:ind w:firstLine="562"/>
        <w:rPr>
          <w:rFonts w:ascii="宋体" w:hAnsi="宋体" w:eastAsia="宋体"/>
          <w:b/>
          <w:szCs w:val="28"/>
        </w:rPr>
      </w:pPr>
      <w:r>
        <w:rPr>
          <w:rFonts w:hint="eastAsia" w:ascii="宋体" w:hAnsi="宋体" w:eastAsia="宋体"/>
          <w:b/>
          <w:szCs w:val="28"/>
        </w:rPr>
        <w:t xml:space="preserve"> 2、</w:t>
      </w:r>
      <w:r>
        <w:rPr>
          <w:rFonts w:ascii="宋体" w:hAnsi="宋体" w:eastAsia="宋体"/>
          <w:b/>
          <w:szCs w:val="28"/>
        </w:rPr>
        <w:t>实施生态降碳工程</w:t>
      </w:r>
    </w:p>
    <w:p w14:paraId="6BB953C1">
      <w:pPr>
        <w:pStyle w:val="56"/>
        <w:rPr>
          <w:rFonts w:ascii="宋体" w:hAnsi="宋体" w:eastAsia="宋体"/>
          <w:szCs w:val="28"/>
        </w:rPr>
      </w:pPr>
      <w:r>
        <w:rPr>
          <w:rFonts w:hint="eastAsia" w:ascii="宋体" w:hAnsi="宋体" w:eastAsia="宋体"/>
          <w:szCs w:val="28"/>
        </w:rPr>
        <w:t>全面推进“林长制”，实施天然林保护修复、退耕还林、森林质量精准提升等重点生态工程，营造林</w:t>
      </w:r>
      <w:r>
        <w:rPr>
          <w:rFonts w:ascii="宋体" w:hAnsi="宋体" w:eastAsia="宋体"/>
          <w:szCs w:val="28"/>
        </w:rPr>
        <w:t>8万亩</w:t>
      </w:r>
      <w:r>
        <w:rPr>
          <w:rFonts w:hint="eastAsia" w:ascii="宋体" w:hAnsi="宋体" w:eastAsia="宋体"/>
          <w:szCs w:val="28"/>
        </w:rPr>
        <w:t>，修复森林资源3万亩，抚育集体中幼龄林2万亩。因林制宜采取抚育改造、补植补造、树种更替等措施，促进形成稳定、健康、生物多样的森林群落结构，提高林地产出率。</w:t>
      </w:r>
    </w:p>
    <w:p w14:paraId="67841006">
      <w:pPr>
        <w:pStyle w:val="56"/>
        <w:ind w:firstLine="562"/>
        <w:rPr>
          <w:rFonts w:ascii="宋体" w:hAnsi="宋体" w:eastAsia="宋体"/>
          <w:b/>
          <w:szCs w:val="28"/>
        </w:rPr>
      </w:pPr>
      <w:r>
        <w:rPr>
          <w:rFonts w:hint="eastAsia" w:ascii="宋体" w:hAnsi="宋体" w:eastAsia="宋体"/>
          <w:b/>
          <w:szCs w:val="28"/>
        </w:rPr>
        <w:t>3、</w:t>
      </w:r>
      <w:r>
        <w:rPr>
          <w:rFonts w:ascii="宋体" w:hAnsi="宋体" w:eastAsia="宋体"/>
          <w:b/>
          <w:szCs w:val="28"/>
        </w:rPr>
        <w:t>实施能源低碳工程</w:t>
      </w:r>
    </w:p>
    <w:p w14:paraId="645672DA">
      <w:pPr>
        <w:pStyle w:val="56"/>
        <w:rPr>
          <w:rFonts w:ascii="宋体" w:hAnsi="宋体" w:eastAsia="宋体"/>
          <w:szCs w:val="28"/>
        </w:rPr>
      </w:pPr>
      <w:r>
        <w:rPr>
          <w:rFonts w:hint="eastAsia" w:ascii="宋体" w:hAnsi="宋体" w:eastAsia="宋体"/>
          <w:szCs w:val="28"/>
        </w:rPr>
        <w:t>大力发展清洁能源，优化能源结构。普及太阳能热水器工程，推进农村太阳能路灯安装项目，建成新能源充电桩，提升清洁能源利用比重。结合井研城市发展规划和道路管网规划、农村电网建设改造规划，进一步提升配网供电能力和</w:t>
      </w:r>
      <w:r>
        <w:rPr>
          <w:rFonts w:ascii="宋体" w:hAnsi="宋体" w:eastAsia="宋体"/>
          <w:szCs w:val="28"/>
        </w:rPr>
        <w:t>电能质量水平。</w:t>
      </w:r>
      <w:r>
        <w:rPr>
          <w:rFonts w:hint="eastAsia" w:ascii="宋体" w:hAnsi="宋体" w:eastAsia="宋体"/>
          <w:szCs w:val="28"/>
        </w:rPr>
        <w:t>构建与电动汽车发展相适应的充电设施服务网络体系，有力支撑电动汽车发展，到</w:t>
      </w:r>
      <w:r>
        <w:rPr>
          <w:rFonts w:ascii="宋体" w:hAnsi="宋体" w:eastAsia="宋体"/>
          <w:szCs w:val="28"/>
        </w:rPr>
        <w:t>2025 年，在县城东、南、西、北四个方向各布置一个公用充电</w:t>
      </w:r>
      <w:r>
        <w:rPr>
          <w:rFonts w:hint="eastAsia" w:ascii="宋体" w:hAnsi="宋体" w:eastAsia="宋体"/>
          <w:szCs w:val="28"/>
        </w:rPr>
        <w:t>场所。</w:t>
      </w:r>
    </w:p>
    <w:p w14:paraId="2143623A">
      <w:pPr>
        <w:pStyle w:val="56"/>
        <w:ind w:firstLine="562"/>
        <w:rPr>
          <w:rFonts w:ascii="宋体" w:hAnsi="宋体" w:eastAsia="宋体"/>
          <w:b/>
          <w:szCs w:val="28"/>
        </w:rPr>
      </w:pPr>
      <w:r>
        <w:rPr>
          <w:rFonts w:hint="eastAsia" w:ascii="宋体" w:hAnsi="宋体" w:eastAsia="宋体"/>
          <w:b/>
          <w:szCs w:val="28"/>
        </w:rPr>
        <w:t>4、</w:t>
      </w:r>
      <w:r>
        <w:rPr>
          <w:rFonts w:ascii="宋体" w:hAnsi="宋体" w:eastAsia="宋体"/>
          <w:b/>
          <w:szCs w:val="28"/>
        </w:rPr>
        <w:t>实施产业低碳工程</w:t>
      </w:r>
    </w:p>
    <w:p w14:paraId="48E3B9D3">
      <w:pPr>
        <w:pStyle w:val="56"/>
        <w:rPr>
          <w:rFonts w:ascii="宋体" w:hAnsi="宋体" w:eastAsia="宋体"/>
          <w:szCs w:val="28"/>
        </w:rPr>
      </w:pPr>
      <w:r>
        <w:rPr>
          <w:rFonts w:hint="eastAsia" w:ascii="宋体" w:hAnsi="宋体" w:eastAsia="宋体"/>
          <w:szCs w:val="28"/>
        </w:rPr>
        <w:t>加快传统产业升级和技术改造，对重点用能单位开展节能监管，推进企业能效对标达标，严格执行高耗能产品能耗限额标准。支持企业实施工业锅炉窑炉节能改造、电机系统节能改造、余热余压回收利用、工业副产煤气回收利用、企业能源管控中心建设等能效提升工程。提高三废利用能力，构建“近零排放”生产体系。提升废旧物资再利用再制造产业，推动深层转型和绿色发展。</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0"/>
      </w:tblGrid>
      <w:tr w14:paraId="2D8D4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470" w:type="dxa"/>
            <w:shd w:val="clear" w:color="auto" w:fill="DAEEF3"/>
            <w:vAlign w:val="center"/>
          </w:tcPr>
          <w:p w14:paraId="059309FD">
            <w:pPr>
              <w:spacing w:line="540" w:lineRule="exact"/>
              <w:jc w:val="center"/>
              <w:rPr>
                <w:rFonts w:eastAsia="黑体"/>
                <w:szCs w:val="21"/>
              </w:rPr>
            </w:pPr>
            <w:r>
              <w:rPr>
                <w:rFonts w:eastAsia="黑体"/>
                <w:b/>
                <w:bCs/>
                <w:szCs w:val="21"/>
              </w:rPr>
              <w:t>专栏</w:t>
            </w:r>
            <w:r>
              <w:rPr>
                <w:rFonts w:hint="eastAsia" w:eastAsia="黑体"/>
                <w:b/>
                <w:bCs/>
                <w:szCs w:val="21"/>
              </w:rPr>
              <w:t>2</w:t>
            </w:r>
            <w:r>
              <w:rPr>
                <w:rFonts w:eastAsia="黑体"/>
                <w:b/>
                <w:bCs/>
                <w:szCs w:val="21"/>
              </w:rPr>
              <w:t xml:space="preserve"> </w:t>
            </w:r>
            <w:r>
              <w:rPr>
                <w:rFonts w:hint="eastAsia" w:eastAsia="黑体"/>
                <w:b/>
                <w:bCs/>
                <w:szCs w:val="21"/>
              </w:rPr>
              <w:t>应对气候变化</w:t>
            </w:r>
            <w:r>
              <w:rPr>
                <w:rFonts w:eastAsia="黑体"/>
                <w:b/>
                <w:bCs/>
                <w:szCs w:val="21"/>
              </w:rPr>
              <w:t>重点</w:t>
            </w:r>
            <w:r>
              <w:rPr>
                <w:rFonts w:hint="eastAsia" w:eastAsia="黑体"/>
                <w:b/>
                <w:bCs/>
                <w:szCs w:val="21"/>
              </w:rPr>
              <w:t>项目</w:t>
            </w:r>
          </w:p>
        </w:tc>
      </w:tr>
      <w:tr w14:paraId="158EC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8470" w:type="dxa"/>
            <w:vAlign w:val="center"/>
          </w:tcPr>
          <w:p w14:paraId="3AB8BBF5">
            <w:pPr>
              <w:numPr>
                <w:ilvl w:val="255"/>
                <w:numId w:val="0"/>
              </w:numPr>
              <w:ind w:firstLine="466" w:firstLineChars="200"/>
              <w:rPr>
                <w:rFonts w:eastAsia="仿宋_GB2312"/>
                <w:spacing w:val="-4"/>
                <w:sz w:val="24"/>
                <w:szCs w:val="24"/>
              </w:rPr>
            </w:pPr>
            <w:r>
              <w:rPr>
                <w:rFonts w:hint="eastAsia" w:eastAsia="仿宋_GB2312"/>
                <w:b/>
                <w:spacing w:val="-4"/>
                <w:sz w:val="24"/>
                <w:szCs w:val="24"/>
              </w:rPr>
              <w:t>1、编制碳排放达峰行动方案。</w:t>
            </w:r>
            <w:r>
              <w:rPr>
                <w:rFonts w:hint="eastAsia" w:eastAsia="仿宋_GB2312"/>
                <w:spacing w:val="-4"/>
                <w:sz w:val="24"/>
                <w:szCs w:val="24"/>
              </w:rPr>
              <w:t>对标国家碳达峰、碳中和目标愿景，编制碳排放达峰行动方案、温室气体排放清单、县域碳汇清单、消耗臭氧层物质重点监控清单。</w:t>
            </w:r>
          </w:p>
          <w:p w14:paraId="4848B6F5">
            <w:pPr>
              <w:numPr>
                <w:ilvl w:val="255"/>
                <w:numId w:val="0"/>
              </w:numPr>
              <w:ind w:firstLine="466" w:firstLineChars="200"/>
              <w:rPr>
                <w:rFonts w:eastAsia="仿宋_GB2312"/>
                <w:spacing w:val="-4"/>
                <w:sz w:val="24"/>
                <w:szCs w:val="24"/>
              </w:rPr>
            </w:pPr>
            <w:r>
              <w:rPr>
                <w:rFonts w:hint="eastAsia" w:eastAsia="仿宋_GB2312"/>
                <w:b/>
                <w:spacing w:val="-4"/>
                <w:sz w:val="24"/>
                <w:szCs w:val="24"/>
              </w:rPr>
              <w:t>2、生态降碳工程。</w:t>
            </w:r>
            <w:r>
              <w:rPr>
                <w:rFonts w:hint="eastAsia" w:eastAsia="仿宋_GB2312"/>
                <w:spacing w:val="-4"/>
                <w:sz w:val="24"/>
                <w:szCs w:val="24"/>
              </w:rPr>
              <w:t>营造珍贵用材林7万亩（其中新造1万亩、低效林改造6万亩）；修复森林资源3万亩；完成“两高速三干道”多彩绿化工程、大佛水库重点绿化工程前期工作，营造水涵养林河护岸林300亩；营造林1万亩；抚育集体中幼龄林2万亩。</w:t>
            </w:r>
          </w:p>
        </w:tc>
      </w:tr>
    </w:tbl>
    <w:p w14:paraId="392F434B">
      <w:pPr>
        <w:pStyle w:val="5"/>
        <w:spacing w:before="0" w:after="0" w:line="240" w:lineRule="auto"/>
        <w:ind w:firstLine="602" w:firstLineChars="200"/>
        <w:rPr>
          <w:rFonts w:ascii="仿宋" w:hAnsi="仿宋" w:eastAsia="仿宋"/>
        </w:rPr>
      </w:pPr>
      <w:bookmarkStart w:id="23" w:name="_Toc115020793"/>
      <w:r>
        <w:rPr>
          <w:rFonts w:hint="eastAsia" w:ascii="仿宋" w:hAnsi="仿宋" w:eastAsia="仿宋"/>
        </w:rPr>
        <w:t>（四）持续改善环境质量</w:t>
      </w:r>
      <w:bookmarkEnd w:id="23"/>
    </w:p>
    <w:p w14:paraId="62BB1EC6">
      <w:pPr>
        <w:ind w:firstLine="570"/>
        <w:rPr>
          <w:rFonts w:ascii="宋体" w:hAnsi="宋体" w:eastAsia="宋体" w:cs="宋体"/>
          <w:b/>
          <w:kern w:val="0"/>
          <w:szCs w:val="28"/>
        </w:rPr>
      </w:pPr>
      <w:r>
        <w:rPr>
          <w:rFonts w:hint="eastAsia" w:ascii="宋体" w:hAnsi="宋体" w:eastAsia="宋体" w:cs="宋体"/>
          <w:b/>
          <w:kern w:val="0"/>
          <w:szCs w:val="28"/>
        </w:rPr>
        <w:t>1、深入打好碧水保卫战</w:t>
      </w:r>
    </w:p>
    <w:p w14:paraId="46E241B9">
      <w:pPr>
        <w:pStyle w:val="8"/>
        <w:ind w:firstLine="570"/>
        <w:rPr>
          <w:b/>
          <w:sz w:val="28"/>
        </w:rPr>
      </w:pPr>
      <w:r>
        <w:rPr>
          <w:rFonts w:hint="eastAsia"/>
          <w:b/>
          <w:sz w:val="28"/>
        </w:rPr>
        <w:t>（1）加强水资源保护利用</w:t>
      </w:r>
    </w:p>
    <w:p w14:paraId="3F3C2C8A">
      <w:pPr>
        <w:ind w:firstLine="562" w:firstLineChars="200"/>
        <w:rPr>
          <w:rFonts w:ascii="宋体" w:hAnsi="宋体" w:eastAsia="宋体" w:cs="宋体"/>
          <w:kern w:val="0"/>
          <w:szCs w:val="28"/>
        </w:rPr>
      </w:pPr>
      <w:r>
        <w:rPr>
          <w:rFonts w:hint="eastAsia" w:ascii="宋体" w:hAnsi="宋体" w:eastAsia="宋体" w:cs="宋体"/>
          <w:b/>
          <w:kern w:val="0"/>
          <w:szCs w:val="28"/>
        </w:rPr>
        <w:t>强化水资源节约。</w:t>
      </w:r>
      <w:r>
        <w:rPr>
          <w:rFonts w:hint="eastAsia" w:ascii="宋体" w:hAnsi="宋体" w:eastAsia="宋体" w:cs="宋体"/>
          <w:kern w:val="0"/>
          <w:szCs w:val="28"/>
        </w:rPr>
        <w:t>全面开展节水型社会达标建设，把节水工作贯穿于国民经济发展和生产生活活动的全过程。严格工业企业、工业园区废水循环利用率要求，推进新、改、扩建项目用水达到行业用水先进水平。建立农业节水体系，大力发展节水灌溉，加强高效节水灌溉工程建设。加强相关规划和建设项目水资源论证，强化水功能区监督管理，严控不合理新增用水。</w:t>
      </w:r>
    </w:p>
    <w:p w14:paraId="281AF85A">
      <w:pPr>
        <w:ind w:firstLine="562" w:firstLineChars="200"/>
        <w:rPr>
          <w:rFonts w:ascii="宋体" w:hAnsi="宋体" w:eastAsia="宋体" w:cs="宋体"/>
          <w:kern w:val="0"/>
          <w:szCs w:val="28"/>
        </w:rPr>
      </w:pPr>
      <w:r>
        <w:rPr>
          <w:rFonts w:hint="eastAsia" w:ascii="宋体" w:hAnsi="宋体" w:eastAsia="宋体" w:cs="宋体"/>
          <w:b/>
          <w:kern w:val="0"/>
          <w:szCs w:val="28"/>
        </w:rPr>
        <w:t>推进水资源优化配置和统一调度。</w:t>
      </w:r>
      <w:r>
        <w:rPr>
          <w:rFonts w:hint="eastAsia" w:ascii="宋体" w:hAnsi="宋体" w:eastAsia="宋体" w:cs="宋体"/>
          <w:kern w:val="0"/>
          <w:szCs w:val="28"/>
        </w:rPr>
        <w:t>执行最严格水资源管理制度落实情况考核机制，实施水资源消耗总量和强度双控行动。制定并落实流域生态应急调水方案，统筹生活、生态环境、工业、农业等用水需求，优先满足城乡生活用水，保障基本生态用水。流域内工业集中区应依法开展规划水资源论证，小水电及农村安全饮水工程应依法办理取水许可证。强化河道生态环境的保护，合理控制水电开发，进一步加强重要水域水生生物资源的保护。优化水电工程调度，联合水利部门精确开展茫溪河、尼溪河、磨池河生态流量（水位）底线调研工作。</w:t>
      </w:r>
    </w:p>
    <w:p w14:paraId="60C1E368">
      <w:pPr>
        <w:pStyle w:val="8"/>
        <w:ind w:firstLine="570"/>
        <w:rPr>
          <w:b/>
          <w:sz w:val="28"/>
        </w:rPr>
      </w:pPr>
      <w:r>
        <w:rPr>
          <w:rFonts w:hint="eastAsia"/>
          <w:b/>
          <w:sz w:val="28"/>
        </w:rPr>
        <w:t>（2）强化水污染治理</w:t>
      </w:r>
    </w:p>
    <w:p w14:paraId="4B261766">
      <w:pPr>
        <w:ind w:firstLine="562" w:firstLineChars="200"/>
        <w:rPr>
          <w:rFonts w:ascii="Calibri" w:hAnsi="Calibri" w:eastAsia="宋体"/>
          <w:szCs w:val="28"/>
        </w:rPr>
      </w:pPr>
      <w:r>
        <w:rPr>
          <w:rFonts w:hint="eastAsia" w:ascii="宋体" w:hAnsi="宋体" w:eastAsia="宋体" w:cs="宋体"/>
          <w:b/>
          <w:kern w:val="0"/>
          <w:szCs w:val="28"/>
        </w:rPr>
        <w:t>系统提升城镇污水处理能力。</w:t>
      </w:r>
      <w:r>
        <w:rPr>
          <w:rFonts w:hint="eastAsia" w:ascii="Calibri" w:hAnsi="Calibri" w:eastAsia="宋体"/>
          <w:szCs w:val="28"/>
        </w:rPr>
        <w:t>实施井研县一、二污水处理厂内部改造提升和尾水生态湿地配套工程，推进千佛、三江、马踏、王村污水处理站尾水人工湿地工程建设，力争出水水质主要指标达Ⅲ类标准。深入开展县城中心城区、千佛、三江、马踏、王村、磨池等场镇污水管网污水管网排查整治，加快破损管网改造修复，推动雨污合流管网改造。严抓污水处理厂（站）运营管理，完善城镇生活污水处理厂（站）水质在线监测设施设备，完善专业运行维护管理和经费保障机制，确保污水处理设施“建成能运行、运行能达标”。建立污泥产生、运输、储存、处置全过程监管体系，禁止处理处置不达标的污泥进入耕地，强化污泥处置管理，加快推进井研县污泥综合利用处置场建设，加大非法污泥堆放点排查力度，全面清理取缔非法污泥堆放点。所有建成并投运的污水处理厂制定“一厂一策”污泥无害化处置方案。</w:t>
      </w:r>
    </w:p>
    <w:p w14:paraId="64363419">
      <w:pPr>
        <w:ind w:firstLine="562" w:firstLineChars="200"/>
        <w:rPr>
          <w:rFonts w:ascii="Calibri" w:hAnsi="Calibri" w:eastAsia="宋体"/>
          <w:szCs w:val="28"/>
        </w:rPr>
      </w:pPr>
      <w:r>
        <w:rPr>
          <w:rFonts w:hint="eastAsia" w:ascii="宋体" w:hAnsi="宋体" w:eastAsia="宋体" w:cs="宋体"/>
          <w:b/>
          <w:kern w:val="0"/>
          <w:szCs w:val="28"/>
        </w:rPr>
        <w:t>持续加强工业</w:t>
      </w:r>
      <w:r>
        <w:rPr>
          <w:rFonts w:ascii="宋体" w:hAnsi="宋体" w:eastAsia="宋体" w:cs="宋体"/>
          <w:b/>
          <w:kern w:val="0"/>
          <w:szCs w:val="28"/>
        </w:rPr>
        <w:t>水污染治理。</w:t>
      </w:r>
      <w:r>
        <w:rPr>
          <w:rFonts w:hint="eastAsia" w:ascii="Calibri" w:hAnsi="Calibri" w:eastAsia="宋体"/>
          <w:szCs w:val="28"/>
        </w:rPr>
        <w:t>加快推进产业布局调整，合理利用水环境容量，调整好污染负荷的分布。继续实施主要污染物总量控制制度，建立新建项目排放总量审批制度。强化环保、能耗、安全等标准约束，督促企业建设废水处理设施并开展清洁生产，加快污染源自动监控系统建设，完善污染事故应急体系。持续开展印染、合成氨、屠宰、农产品加工等主要涉水行业、重点企业监管，落实驻厂监督员，实施常态化驻厂监督，加快推动意龙公司污水处理设施提标升级改造。推动工业集中区污水深度治理工程，完善工业园区污水管网，实施雨污分流，</w:t>
      </w:r>
      <w:r>
        <w:rPr>
          <w:rFonts w:ascii="Calibri" w:hAnsi="Calibri" w:eastAsia="宋体"/>
          <w:szCs w:val="28"/>
        </w:rPr>
        <w:t>配套中水回用设施</w:t>
      </w:r>
      <w:r>
        <w:rPr>
          <w:rFonts w:hint="eastAsia" w:ascii="Calibri" w:hAnsi="Calibri" w:eastAsia="宋体"/>
          <w:szCs w:val="28"/>
        </w:rPr>
        <w:t>，排水水质稳定达到岷沱江标准中工业园区污水处理厂排放标准。</w:t>
      </w:r>
    </w:p>
    <w:p w14:paraId="5364554C">
      <w:pPr>
        <w:adjustRightInd w:val="0"/>
        <w:snapToGrid w:val="0"/>
        <w:spacing w:line="580" w:lineRule="exact"/>
        <w:ind w:firstLine="562" w:firstLineChars="200"/>
        <w:rPr>
          <w:rFonts w:ascii="Calibri" w:hAnsi="Calibri" w:eastAsia="宋体"/>
          <w:szCs w:val="28"/>
        </w:rPr>
      </w:pPr>
      <w:r>
        <w:rPr>
          <w:rFonts w:ascii="Calibri" w:hAnsi="Calibri" w:eastAsia="宋体"/>
          <w:b/>
          <w:szCs w:val="28"/>
        </w:rPr>
        <w:t>加强农业水污染防治。</w:t>
      </w:r>
      <w:r>
        <w:rPr>
          <w:rFonts w:ascii="Calibri" w:hAnsi="Calibri" w:eastAsia="宋体"/>
          <w:szCs w:val="28"/>
        </w:rPr>
        <w:t>推进畜禽养殖污染治理专项整治，推动养殖场完善雨污分流、粪便污水资源化利用设施，</w:t>
      </w:r>
      <w:r>
        <w:rPr>
          <w:rFonts w:hint="eastAsia" w:ascii="Calibri" w:hAnsi="Calibri" w:eastAsia="宋体"/>
          <w:szCs w:val="28"/>
        </w:rPr>
        <w:t>加快推进井研县畜禽粪污集中处理中心（大型沼气工程）配套设施建设，力争实现500头以上规模养殖场和重点流域附近养殖场粪污收集全覆盖。</w:t>
      </w:r>
      <w:r>
        <w:rPr>
          <w:rFonts w:ascii="Calibri" w:hAnsi="Calibri" w:eastAsia="宋体"/>
          <w:szCs w:val="28"/>
        </w:rPr>
        <w:t>加强水产养殖污染防治，推进茫溪河、泥溪河流域水产养殖尾水治理示范</w:t>
      </w:r>
      <w:r>
        <w:rPr>
          <w:rFonts w:hint="eastAsia" w:ascii="Calibri" w:hAnsi="Calibri" w:eastAsia="宋体"/>
          <w:szCs w:val="28"/>
        </w:rPr>
        <w:t>，开展水产养殖产业集群清洁生产审核创新试点</w:t>
      </w:r>
      <w:r>
        <w:rPr>
          <w:rFonts w:ascii="Calibri" w:hAnsi="Calibri" w:eastAsia="宋体"/>
          <w:szCs w:val="28"/>
        </w:rPr>
        <w:t>。探索研究农业面源污染控制，试点建设农田退水缓冲带，在重点断面河道两侧因地制宜种植灌木、乔木和草本植物，推进秸秆还田和离田综合利用。深入推进化肥、化学农药零增长行动，推广测土配方施肥技术，开展化肥减量增效示范和果菜茶有机肥代替化肥试点，提升科学施肥水平。2025年，</w:t>
      </w:r>
      <w:r>
        <w:rPr>
          <w:rFonts w:hint="eastAsia" w:ascii="Calibri" w:hAnsi="Calibri" w:eastAsia="宋体"/>
          <w:szCs w:val="28"/>
        </w:rPr>
        <w:t>全县</w:t>
      </w:r>
      <w:r>
        <w:rPr>
          <w:rFonts w:ascii="Calibri" w:hAnsi="Calibri" w:eastAsia="宋体"/>
          <w:szCs w:val="28"/>
        </w:rPr>
        <w:t>主要农作物化肥、化学农药使用量保持零增长，农药利用率达全国平均水平，绿色防控覆盖率达到50%以上。</w:t>
      </w:r>
    </w:p>
    <w:p w14:paraId="5395B83C">
      <w:pPr>
        <w:ind w:firstLine="562" w:firstLineChars="200"/>
        <w:rPr>
          <w:rFonts w:ascii="Calibri" w:hAnsi="Calibri" w:eastAsia="宋体"/>
          <w:szCs w:val="28"/>
        </w:rPr>
      </w:pPr>
      <w:r>
        <w:rPr>
          <w:rFonts w:ascii="宋体" w:hAnsi="宋体" w:eastAsia="宋体" w:cs="宋体"/>
          <w:b/>
          <w:kern w:val="0"/>
          <w:szCs w:val="28"/>
        </w:rPr>
        <w:t>深入开展入河排污口排查整治。</w:t>
      </w:r>
      <w:r>
        <w:rPr>
          <w:rFonts w:ascii="Calibri" w:hAnsi="Calibri" w:eastAsia="宋体"/>
          <w:szCs w:val="28"/>
        </w:rPr>
        <w:t>落实“查、测、溯、治”要求，摸清</w:t>
      </w:r>
      <w:r>
        <w:rPr>
          <w:rFonts w:hint="eastAsia" w:ascii="Calibri" w:hAnsi="Calibri" w:eastAsia="宋体"/>
          <w:szCs w:val="28"/>
        </w:rPr>
        <w:t>全县</w:t>
      </w:r>
      <w:r>
        <w:rPr>
          <w:rFonts w:ascii="Calibri" w:hAnsi="Calibri" w:eastAsia="宋体"/>
          <w:szCs w:val="28"/>
        </w:rPr>
        <w:t>入河排污口底数，掌握入河排污口水量、污染物种类和水质，明确入河排污口责任主体，持续推进入河排污口整治。</w:t>
      </w:r>
      <w:r>
        <w:rPr>
          <w:rFonts w:hint="eastAsia" w:ascii="Calibri" w:hAnsi="Calibri" w:eastAsia="宋体"/>
          <w:szCs w:val="28"/>
        </w:rPr>
        <w:t>对已排查出的220个排污口全覆盖设置“排口长”，实施茫溪河流域入河排污口监测、溯源和整治，并纳入河（湖）长制管理及环境网格化监管。</w:t>
      </w:r>
    </w:p>
    <w:p w14:paraId="396C6406">
      <w:pPr>
        <w:pStyle w:val="8"/>
        <w:ind w:firstLine="570"/>
        <w:rPr>
          <w:b/>
          <w:sz w:val="28"/>
        </w:rPr>
      </w:pPr>
      <w:r>
        <w:rPr>
          <w:rFonts w:hint="eastAsia"/>
          <w:b/>
          <w:sz w:val="28"/>
        </w:rPr>
        <w:t>（3）开展水生态保护修复</w:t>
      </w:r>
    </w:p>
    <w:p w14:paraId="3585C5AB">
      <w:pPr>
        <w:ind w:firstLine="562" w:firstLineChars="200"/>
        <w:rPr>
          <w:rFonts w:ascii="Calibri" w:hAnsi="Calibri" w:eastAsia="宋体"/>
          <w:szCs w:val="28"/>
        </w:rPr>
      </w:pPr>
      <w:r>
        <w:rPr>
          <w:rFonts w:hint="eastAsia" w:ascii="Calibri" w:hAnsi="Calibri" w:eastAsia="宋体"/>
          <w:b/>
          <w:szCs w:val="28"/>
        </w:rPr>
        <w:t>实施河湖水生态修复。</w:t>
      </w:r>
      <w:r>
        <w:rPr>
          <w:rFonts w:hint="eastAsia" w:ascii="Calibri" w:hAnsi="Calibri" w:eastAsia="宋体"/>
          <w:szCs w:val="28"/>
        </w:rPr>
        <w:t>加快实施生态补水、水系连通工程，增强水体流动，恢复和重建河流生态系统。对茫溪河、磨池河、泥溪河等重点河流实施控源截污，进行底泥环保疏浚、生态拦截带建设、滨水滩涂湿地植被群落改善等，实施水生态治理与保护修复工程。全面取缔水库承包，实施桑树嘴等5座水库生态修复试点治理。坚持保护优先、自然恢复为主的方针，明确不同重点流域洄游通道保护、天然生境恢复、生境替代保护、保护与修复及增殖放流等任务要求。推进水域岸线规范化管理，开展流域水土流失治理，严格控制开发建设活动，维持和修复流域自然生态环境质量，维护河湖库和重要水源地的生态安全。</w:t>
      </w:r>
    </w:p>
    <w:p w14:paraId="0FE40767">
      <w:pPr>
        <w:pStyle w:val="56"/>
        <w:ind w:firstLine="562"/>
        <w:rPr>
          <w:rFonts w:ascii="宋体" w:hAnsi="宋体" w:eastAsia="宋体"/>
          <w:szCs w:val="28"/>
        </w:rPr>
      </w:pPr>
      <w:r>
        <w:rPr>
          <w:rFonts w:hint="eastAsia" w:ascii="宋体" w:hAnsi="宋体" w:eastAsia="宋体"/>
          <w:b/>
          <w:bCs/>
          <w:szCs w:val="28"/>
        </w:rPr>
        <w:t>推进重点城镇中小河流综合治理。</w:t>
      </w:r>
      <w:r>
        <w:rPr>
          <w:rFonts w:hint="eastAsia" w:ascii="宋体" w:hAnsi="宋体" w:eastAsia="宋体"/>
          <w:szCs w:val="28"/>
        </w:rPr>
        <w:t>加快推进茫溪河流域重点城镇和村庄河段的防洪治理，实施研城镇红太阳村段、千佛镇汪山埂段、千佛镇石家桥村段、三江镇三江村段等7段河道的防洪治理工程，综合治理河段长37.5公里，新建堤防19.8公里，新建护岸8.0公里，疏浚河道31.5公里。采取综合措施提高防御洪水能力，修复河流生态环境。加快完成城市防洪排涝设施，建设“海绵城市”，健全城市洪涝预报预警、指挥调度、应急抢险等措施，提高防洪减灾能力。</w:t>
      </w:r>
    </w:p>
    <w:p w14:paraId="69813EDF">
      <w:pPr>
        <w:pStyle w:val="8"/>
        <w:ind w:firstLine="570"/>
        <w:rPr>
          <w:b/>
          <w:sz w:val="28"/>
        </w:rPr>
      </w:pPr>
      <w:r>
        <w:rPr>
          <w:rFonts w:hint="eastAsia"/>
          <w:b/>
          <w:sz w:val="28"/>
        </w:rPr>
        <w:t>（4）深化饮用水水源地保护</w:t>
      </w:r>
    </w:p>
    <w:p w14:paraId="40CCD38A">
      <w:pPr>
        <w:ind w:firstLine="562" w:firstLineChars="200"/>
        <w:rPr>
          <w:rFonts w:ascii="Calibri" w:hAnsi="Calibri" w:eastAsia="宋体"/>
          <w:szCs w:val="28"/>
        </w:rPr>
      </w:pPr>
      <w:r>
        <w:rPr>
          <w:rFonts w:hint="eastAsia" w:ascii="宋体" w:hAnsi="宋体" w:eastAsia="宋体" w:cs="宋体"/>
          <w:b/>
          <w:kern w:val="0"/>
          <w:szCs w:val="28"/>
        </w:rPr>
        <w:t>完善饮用水水</w:t>
      </w:r>
      <w:r>
        <w:rPr>
          <w:rFonts w:ascii="宋体" w:hAnsi="宋体" w:eastAsia="宋体" w:cs="宋体"/>
          <w:b/>
          <w:kern w:val="0"/>
          <w:szCs w:val="28"/>
        </w:rPr>
        <w:t>源地</w:t>
      </w:r>
      <w:r>
        <w:rPr>
          <w:rFonts w:hint="eastAsia" w:ascii="宋体" w:hAnsi="宋体" w:eastAsia="宋体" w:cs="宋体"/>
          <w:b/>
          <w:kern w:val="0"/>
          <w:szCs w:val="28"/>
        </w:rPr>
        <w:t>规范化建设。</w:t>
      </w:r>
      <w:r>
        <w:rPr>
          <w:rFonts w:hint="eastAsia" w:ascii="Calibri" w:hAnsi="Calibri" w:eastAsia="宋体"/>
          <w:szCs w:val="28"/>
        </w:rPr>
        <w:t>严格按《集中式饮用水水源地规范化建设环境保护技术技术要求</w:t>
      </w:r>
      <w:r>
        <w:rPr>
          <w:rFonts w:ascii="Calibri" w:hAnsi="Calibri" w:eastAsia="宋体"/>
          <w:szCs w:val="28"/>
        </w:rPr>
        <w:t>》</w:t>
      </w:r>
      <w:r>
        <w:rPr>
          <w:rFonts w:hint="eastAsia" w:ascii="Calibri" w:hAnsi="Calibri" w:eastAsia="宋体"/>
          <w:szCs w:val="28"/>
        </w:rPr>
        <w:t>（</w:t>
      </w:r>
      <w:r>
        <w:rPr>
          <w:rFonts w:ascii="Calibri" w:hAnsi="Calibri" w:eastAsia="宋体"/>
          <w:szCs w:val="28"/>
        </w:rPr>
        <w:t>HJ 773-2015</w:t>
      </w:r>
      <w:r>
        <w:rPr>
          <w:rFonts w:hint="eastAsia" w:ascii="Calibri" w:hAnsi="Calibri" w:eastAsia="宋体"/>
          <w:szCs w:val="28"/>
        </w:rPr>
        <w:t>），对井研县应急备用水源、研经镇、周坡镇等城镇集中式饮用水水源地进行规范化建设，设置隔离网和水源地标识、标牌等。定期进行饮用水水源标志及隔离设施的维护。持续推进农村集中式饮用水水源地保护区划分，设立地理界标、警示标志和宣传牌，建立完善水源地名录和信息台账。</w:t>
      </w:r>
    </w:p>
    <w:p w14:paraId="6F0CB0EB">
      <w:pPr>
        <w:ind w:firstLine="562" w:firstLineChars="200"/>
        <w:rPr>
          <w:rFonts w:ascii="Calibri" w:hAnsi="Calibri" w:eastAsia="宋体"/>
          <w:szCs w:val="28"/>
        </w:rPr>
      </w:pPr>
      <w:r>
        <w:rPr>
          <w:rFonts w:hint="eastAsia" w:ascii="宋体" w:hAnsi="宋体" w:eastAsia="宋体" w:cs="宋体"/>
          <w:b/>
          <w:kern w:val="0"/>
          <w:szCs w:val="28"/>
        </w:rPr>
        <w:t>开展水源地保护区环境综合整治。</w:t>
      </w:r>
      <w:r>
        <w:rPr>
          <w:rFonts w:hint="eastAsia" w:ascii="Calibri" w:hAnsi="Calibri" w:eastAsia="宋体"/>
          <w:szCs w:val="28"/>
        </w:rPr>
        <w:t>严格按照《四川省饮用水水源保护管理条例》，深入推进饮用水水源地环境保护执法专项行动。重点开展大佛水库水源地环境整治，开展底泥清淤、生态治理，新建排污引流、隔离带、防护林等；大力推进研经镇、周坡镇等乡镇二级保护区与准保护区内农户整治，严格控制一级、二级保护区内化肥、农药等非点源污染，并逐步退出。推进农村集中式饮用水水源地“一源一策”管理，加强农村饮用水水源地周边生活污水、垃圾及畜禽养殖废弃物的处理处置，综合防治农药化肥等面源污染，强化生态保护修复。</w:t>
      </w:r>
    </w:p>
    <w:p w14:paraId="1797288C">
      <w:pPr>
        <w:ind w:firstLine="562" w:firstLineChars="200"/>
        <w:rPr>
          <w:rFonts w:ascii="Calibri" w:hAnsi="Calibri" w:eastAsia="宋体"/>
          <w:szCs w:val="28"/>
        </w:rPr>
      </w:pPr>
      <w:r>
        <w:rPr>
          <w:rFonts w:hint="eastAsia" w:ascii="宋体" w:hAnsi="宋体" w:eastAsia="宋体" w:cs="宋体"/>
          <w:b/>
          <w:kern w:val="0"/>
          <w:szCs w:val="28"/>
        </w:rPr>
        <w:t>提升水源地水质监管能力。</w:t>
      </w:r>
      <w:r>
        <w:rPr>
          <w:rFonts w:hint="eastAsia" w:ascii="Calibri" w:hAnsi="Calibri" w:eastAsia="宋体"/>
          <w:szCs w:val="28"/>
        </w:rPr>
        <w:t>按照</w:t>
      </w:r>
      <w:r>
        <w:rPr>
          <w:rFonts w:ascii="Calibri" w:hAnsi="Calibri" w:eastAsia="宋体"/>
          <w:szCs w:val="28"/>
        </w:rPr>
        <w:t>“</w:t>
      </w:r>
      <w:r>
        <w:rPr>
          <w:rFonts w:hint="eastAsia" w:ascii="Calibri" w:hAnsi="Calibri" w:eastAsia="宋体"/>
          <w:szCs w:val="28"/>
        </w:rPr>
        <w:t>一源一档、同时建立、同步更新</w:t>
      </w:r>
      <w:r>
        <w:rPr>
          <w:rFonts w:ascii="Calibri" w:hAnsi="Calibri" w:eastAsia="宋体"/>
          <w:szCs w:val="28"/>
        </w:rPr>
        <w:t>”</w:t>
      </w:r>
      <w:r>
        <w:rPr>
          <w:rFonts w:hint="eastAsia" w:ascii="Calibri" w:hAnsi="Calibri" w:eastAsia="宋体"/>
          <w:szCs w:val="28"/>
        </w:rPr>
        <w:t>的原则规范饮用水水源地管理，建立全县饮用水源地数据库，完善信息综合管理系统。科学制定水源地水质监测计划，提高检测频次，乡镇水源地实行每季度监测，并落实水源地环境信息公开。加强对水源地水质状况及安全形势研判，加快水质预警自动监测站建设，有效应对水源地环境风险。推进应急（备用）水源、应急处置设施建设，完善水源地应急预案，建立应急救援物资储备制度。</w:t>
      </w:r>
    </w:p>
    <w:p w14:paraId="09275807">
      <w:pPr>
        <w:pStyle w:val="8"/>
        <w:ind w:firstLine="570"/>
        <w:rPr>
          <w:b/>
          <w:sz w:val="28"/>
        </w:rPr>
      </w:pPr>
      <w:r>
        <w:rPr>
          <w:rFonts w:hint="eastAsia"/>
          <w:b/>
          <w:sz w:val="28"/>
        </w:rPr>
        <w:t>（5）加强地下水环境保护</w:t>
      </w:r>
    </w:p>
    <w:p w14:paraId="516FD615">
      <w:pPr>
        <w:pStyle w:val="9"/>
        <w:ind w:firstLine="560" w:firstLineChars="200"/>
        <w:rPr>
          <w:rFonts w:ascii="Calibri" w:hAnsi="Calibri" w:eastAsia="宋体"/>
          <w:szCs w:val="28"/>
        </w:rPr>
      </w:pPr>
      <w:r>
        <w:rPr>
          <w:rFonts w:ascii="Calibri" w:hAnsi="Calibri" w:eastAsia="宋体"/>
          <w:szCs w:val="28"/>
        </w:rPr>
        <w:t>建立健全地下水环境质量监测体系</w:t>
      </w:r>
      <w:r>
        <w:rPr>
          <w:rFonts w:hint="eastAsia" w:ascii="Calibri" w:hAnsi="Calibri" w:eastAsia="宋体"/>
          <w:szCs w:val="28"/>
        </w:rPr>
        <w:t>，</w:t>
      </w:r>
      <w:r>
        <w:rPr>
          <w:rFonts w:ascii="Calibri" w:hAnsi="Calibri" w:eastAsia="宋体"/>
          <w:szCs w:val="28"/>
        </w:rPr>
        <w:t>以浅层地下水为重点，推进区域地下水环境质量监测，开展地下水环境质量与污染状况调查，对</w:t>
      </w:r>
      <w:r>
        <w:rPr>
          <w:rFonts w:hint="eastAsia" w:ascii="Calibri" w:hAnsi="Calibri" w:eastAsia="宋体"/>
          <w:szCs w:val="28"/>
        </w:rPr>
        <w:t>化工</w:t>
      </w:r>
      <w:r>
        <w:rPr>
          <w:rFonts w:ascii="Calibri" w:hAnsi="Calibri" w:eastAsia="宋体"/>
          <w:szCs w:val="28"/>
        </w:rPr>
        <w:t>企业及工业集聚区、加油站、污水处理厂等重点污染源及周边地下水基础环境状况试点调查，逐步推进重点污染源地下水环境日常自行监测及监督监测工作。</w:t>
      </w:r>
    </w:p>
    <w:p w14:paraId="6CC3BA68">
      <w:pPr>
        <w:pStyle w:val="51"/>
        <w:spacing w:line="360" w:lineRule="auto"/>
        <w:ind w:firstLine="562"/>
        <w:rPr>
          <w:rFonts w:asciiTheme="majorEastAsia" w:hAnsiTheme="majorEastAsia" w:eastAsiaTheme="majorEastAsia"/>
          <w:b/>
          <w:sz w:val="28"/>
          <w:szCs w:val="28"/>
        </w:rPr>
      </w:pPr>
      <w:r>
        <w:rPr>
          <w:rFonts w:hint="eastAsia" w:asciiTheme="majorEastAsia" w:hAnsiTheme="majorEastAsia" w:eastAsiaTheme="majorEastAsia"/>
          <w:b/>
          <w:sz w:val="28"/>
          <w:szCs w:val="28"/>
        </w:rPr>
        <w:t>2</w:t>
      </w:r>
      <w:r>
        <w:rPr>
          <w:rFonts w:asciiTheme="majorEastAsia" w:hAnsiTheme="majorEastAsia" w:eastAsiaTheme="majorEastAsia"/>
          <w:b/>
          <w:sz w:val="28"/>
          <w:szCs w:val="28"/>
        </w:rPr>
        <w:t>、</w:t>
      </w:r>
      <w:r>
        <w:rPr>
          <w:rFonts w:hint="eastAsia" w:asciiTheme="majorEastAsia" w:hAnsiTheme="majorEastAsia" w:eastAsiaTheme="majorEastAsia"/>
          <w:b/>
          <w:sz w:val="28"/>
          <w:szCs w:val="28"/>
        </w:rPr>
        <w:t>持续改善环境空气质量</w:t>
      </w:r>
    </w:p>
    <w:p w14:paraId="45FF57B8">
      <w:pPr>
        <w:pStyle w:val="8"/>
        <w:ind w:firstLine="570"/>
        <w:rPr>
          <w:rFonts w:ascii="Calibri" w:hAnsi="Calibri" w:eastAsia="宋体"/>
          <w:sz w:val="28"/>
          <w:szCs w:val="28"/>
        </w:rPr>
      </w:pPr>
      <w:r>
        <w:rPr>
          <w:rFonts w:hint="eastAsia" w:ascii="Calibri" w:hAnsi="Calibri" w:eastAsia="宋体"/>
          <w:sz w:val="28"/>
          <w:szCs w:val="28"/>
        </w:rPr>
        <w:t>（1）强化工业源污染治理</w:t>
      </w:r>
    </w:p>
    <w:p w14:paraId="1DD8235E">
      <w:pPr>
        <w:ind w:firstLine="560" w:firstLineChars="200"/>
        <w:rPr>
          <w:rFonts w:ascii="Calibri" w:hAnsi="Calibri" w:eastAsia="宋体"/>
          <w:szCs w:val="28"/>
        </w:rPr>
      </w:pPr>
      <w:r>
        <w:rPr>
          <w:rFonts w:hint="eastAsia" w:ascii="Calibri" w:hAnsi="Calibri" w:eastAsia="宋体"/>
          <w:szCs w:val="28"/>
        </w:rPr>
        <w:t>逐步调整产业结构，以大气环境达标倒逼产业转型升级，逐步实现大气污染控制从末端治理到源头控制过渡，加快区域绿色工业发展进程。强化大气污染物排放源头控制，以空间格局及产业布局优化为切入点，通过严格环境准入、企业搬迁、产能淘汰等差异化的地域空间管理要求，控制化工、水泥、陶瓷等“两高”项目建设，严格控制园区外新建涉气工业企业，引导产业发展格局优化升级；通过提高环境准入门槛、淘汰落后产能等方式倒逼能源结构和产业机构优化升级。持续推进陶瓷、铸造、砖瓦等行业大气污染防治深度治理，深入推进颗粒物、二氧化硫、氮氧化物和挥发性有机物治理，持续推进陶瓷行业（喷雾干燥塔）清洁能源改造工程。加大不达标工业炉窑淘汰力度，鼓励工业炉窑使用电、天然气等清洁能源或由周边热电联产项目集中供热。</w:t>
      </w:r>
    </w:p>
    <w:p w14:paraId="34AB427B">
      <w:pPr>
        <w:adjustRightInd w:val="0"/>
        <w:snapToGrid w:val="0"/>
        <w:spacing w:line="580" w:lineRule="exact"/>
        <w:ind w:firstLine="560" w:firstLineChars="200"/>
        <w:rPr>
          <w:rFonts w:ascii="Calibri" w:hAnsi="Calibri" w:eastAsia="宋体"/>
          <w:szCs w:val="28"/>
        </w:rPr>
      </w:pPr>
      <w:r>
        <w:rPr>
          <w:rFonts w:hint="eastAsia" w:ascii="Calibri" w:hAnsi="Calibri" w:eastAsia="宋体"/>
          <w:szCs w:val="28"/>
        </w:rPr>
        <w:t>加强臭氧和细颗粒物协同治理。严格落实淘汰ODS和HFCs的有关制度及方案。以春夏季臭氧和秋冬季PM2.5污染为重点控制时段，开展PM2.5和臭氧污染协同控制研究。实施重点行业企业绩效分级管理，全面推行差异化减排，鼓励错时生产、错季作业，监督错峰生产落到实处。</w:t>
      </w:r>
    </w:p>
    <w:p w14:paraId="0E9EE014">
      <w:pPr>
        <w:pStyle w:val="8"/>
        <w:ind w:firstLine="570"/>
        <w:rPr>
          <w:rFonts w:ascii="Calibri" w:hAnsi="Calibri" w:eastAsia="宋体"/>
          <w:sz w:val="28"/>
          <w:szCs w:val="28"/>
        </w:rPr>
      </w:pPr>
      <w:r>
        <w:rPr>
          <w:rFonts w:hint="eastAsia" w:ascii="Calibri" w:hAnsi="Calibri" w:eastAsia="宋体"/>
          <w:sz w:val="28"/>
          <w:szCs w:val="28"/>
        </w:rPr>
        <w:t>（2）深化</w:t>
      </w:r>
      <w:r>
        <w:rPr>
          <w:rFonts w:hint="eastAsia" w:ascii="Calibri" w:hAnsi="Calibri" w:eastAsia="宋体"/>
          <w:bCs/>
          <w:sz w:val="28"/>
          <w:szCs w:val="28"/>
        </w:rPr>
        <w:t>VOCs污染治理</w:t>
      </w:r>
    </w:p>
    <w:p w14:paraId="23D451C4">
      <w:pPr>
        <w:adjustRightInd w:val="0"/>
        <w:snapToGrid w:val="0"/>
        <w:spacing w:line="580" w:lineRule="exact"/>
        <w:ind w:firstLine="562" w:firstLineChars="200"/>
        <w:rPr>
          <w:rFonts w:ascii="Calibri" w:hAnsi="Calibri" w:eastAsia="宋体"/>
          <w:szCs w:val="28"/>
        </w:rPr>
      </w:pPr>
      <w:bookmarkStart w:id="24" w:name="_Toc1056499148"/>
      <w:bookmarkStart w:id="25" w:name="_Toc322651355"/>
      <w:bookmarkStart w:id="26" w:name="_Toc54740920"/>
      <w:bookmarkStart w:id="27" w:name="_Toc1708204890"/>
      <w:bookmarkStart w:id="28" w:name="_Toc84951001"/>
      <w:bookmarkStart w:id="29" w:name="_Toc3181"/>
      <w:bookmarkStart w:id="30" w:name="_Toc109922123"/>
      <w:bookmarkStart w:id="31" w:name="_Toc1323819474"/>
      <w:bookmarkStart w:id="32" w:name="_Toc72159198"/>
      <w:r>
        <w:rPr>
          <w:rFonts w:hint="eastAsia" w:ascii="Calibri" w:hAnsi="Calibri" w:eastAsia="宋体"/>
          <w:b/>
          <w:szCs w:val="28"/>
        </w:rPr>
        <w:t>实施重点行业VOCs总量控制和源头替代。</w:t>
      </w:r>
      <w:r>
        <w:rPr>
          <w:rFonts w:hint="eastAsia" w:ascii="Calibri" w:hAnsi="Calibri" w:eastAsia="宋体"/>
          <w:szCs w:val="28"/>
        </w:rPr>
        <w:t>大力推进工业涂装、包装印刷等溶剂使用类行业及涂料、油墨、胶粘剂、清洗剂等行业低挥发性原辅料产品的源头替代，鼓励采购使用低VOCs含量原辅材料的产品，建立全面使用符合国家要求的低VOCs含量原辅材料的企业正面清单和政府绿色采购清单。</w:t>
      </w:r>
    </w:p>
    <w:p w14:paraId="42BF740E">
      <w:pPr>
        <w:adjustRightInd w:val="0"/>
        <w:snapToGrid w:val="0"/>
        <w:spacing w:line="600" w:lineRule="exact"/>
        <w:ind w:firstLine="562" w:firstLineChars="200"/>
        <w:rPr>
          <w:rFonts w:ascii="Calibri" w:hAnsi="Calibri" w:eastAsia="宋体"/>
          <w:szCs w:val="28"/>
        </w:rPr>
      </w:pPr>
      <w:r>
        <w:rPr>
          <w:rFonts w:hint="eastAsia" w:ascii="Calibri" w:hAnsi="Calibri" w:eastAsia="宋体"/>
          <w:b/>
          <w:szCs w:val="28"/>
        </w:rPr>
        <w:t>加强重点地区、重点行业VOCs排放整治。</w:t>
      </w:r>
      <w:r>
        <w:rPr>
          <w:rFonts w:hint="eastAsia" w:ascii="Calibri" w:hAnsi="Calibri" w:eastAsia="宋体"/>
          <w:szCs w:val="28"/>
        </w:rPr>
        <w:t>严格控制涉VOCs排放新建项目，对新增VOCs排放项目实施等量或倍量替代。以井研县、集中工业区为重点，推进重点区域VOCs整治。持续开展全县重点行业企业“一厂一策”综合治理，实施重点行业VOCs达标排放整治。实施化工、家具制造等重点行业VOCs总量控制，深化汽车修理行业整治，促进集中高效处理，完善汽修行业管理台账和在线监测手段。</w:t>
      </w:r>
    </w:p>
    <w:p w14:paraId="0336BC96">
      <w:pPr>
        <w:adjustRightInd w:val="0"/>
        <w:snapToGrid w:val="0"/>
        <w:spacing w:line="600" w:lineRule="exact"/>
        <w:ind w:firstLine="562" w:firstLineChars="200"/>
        <w:rPr>
          <w:rFonts w:ascii="Calibri" w:hAnsi="Calibri" w:eastAsia="宋体"/>
          <w:szCs w:val="28"/>
        </w:rPr>
      </w:pPr>
      <w:r>
        <w:rPr>
          <w:rFonts w:hint="eastAsia" w:ascii="Calibri" w:hAnsi="Calibri" w:eastAsia="宋体"/>
          <w:b/>
          <w:szCs w:val="28"/>
        </w:rPr>
        <w:t>加强无组织VOCs排放控制。</w:t>
      </w:r>
      <w:r>
        <w:rPr>
          <w:rFonts w:hint="eastAsia" w:ascii="Calibri" w:hAnsi="Calibri" w:eastAsia="宋体"/>
          <w:szCs w:val="28"/>
        </w:rPr>
        <w:t>对含VOCs物料（包括含VOCs原辅材料、含VOCs产品、含VOCs废料以及有机聚合物材料等）储存、转移和输送、设备与管线组件泄漏、敞开液面逸散以及工艺过程等五类排放源实施重点管控，通过采取设备与场所密闭、工艺改进、废气有效收集等措施，削减VOCs无组织排放。</w:t>
      </w:r>
    </w:p>
    <w:p w14:paraId="10FA9E85">
      <w:pPr>
        <w:adjustRightInd w:val="0"/>
        <w:snapToGrid w:val="0"/>
        <w:spacing w:line="600" w:lineRule="exact"/>
        <w:ind w:firstLine="562" w:firstLineChars="200"/>
        <w:rPr>
          <w:rFonts w:ascii="Calibri" w:hAnsi="Calibri" w:eastAsia="宋体"/>
          <w:szCs w:val="28"/>
        </w:rPr>
      </w:pPr>
      <w:r>
        <w:rPr>
          <w:rFonts w:hint="eastAsia" w:ascii="Calibri" w:hAnsi="Calibri" w:eastAsia="宋体"/>
          <w:b/>
          <w:szCs w:val="28"/>
        </w:rPr>
        <w:t>加强其他行业VOCs污染防治。</w:t>
      </w:r>
      <w:r>
        <w:rPr>
          <w:rFonts w:hint="eastAsia" w:ascii="Calibri" w:hAnsi="Calibri" w:eastAsia="宋体"/>
          <w:szCs w:val="28"/>
        </w:rPr>
        <w:t>加大油品油气行业治理，落实《四川省加油站大气污染物排放标准》，推动加油站油气回收升级改造，全面实施加油站油气回收在线监测系统安装。持续开展油气回收专项检查，对未安装或回收装置运行不正常的加油站、储油库、油罐车、油品运输船舶依法责令整改或停止使用。加强建筑面源污染排放控制，建立全县涉及VOCs排放作业工序工地错峰施工机制与实施方案。</w:t>
      </w:r>
    </w:p>
    <w:p w14:paraId="304AFA96">
      <w:pPr>
        <w:pStyle w:val="8"/>
        <w:ind w:firstLine="570"/>
        <w:rPr>
          <w:rFonts w:ascii="Calibri" w:hAnsi="Calibri" w:eastAsia="宋体"/>
          <w:sz w:val="28"/>
          <w:szCs w:val="28"/>
        </w:rPr>
      </w:pPr>
      <w:r>
        <w:rPr>
          <w:rFonts w:hint="eastAsia" w:ascii="Calibri" w:hAnsi="Calibri" w:eastAsia="宋体"/>
          <w:sz w:val="28"/>
          <w:szCs w:val="28"/>
        </w:rPr>
        <w:t>（3）加大移动源污染管控力度</w:t>
      </w:r>
      <w:bookmarkEnd w:id="24"/>
      <w:bookmarkEnd w:id="25"/>
      <w:bookmarkEnd w:id="26"/>
      <w:bookmarkEnd w:id="27"/>
      <w:bookmarkEnd w:id="28"/>
      <w:bookmarkEnd w:id="29"/>
      <w:bookmarkEnd w:id="30"/>
      <w:bookmarkEnd w:id="31"/>
      <w:bookmarkEnd w:id="32"/>
    </w:p>
    <w:p w14:paraId="17B4C9E9">
      <w:pPr>
        <w:adjustRightInd w:val="0"/>
        <w:snapToGrid w:val="0"/>
        <w:spacing w:line="580" w:lineRule="exact"/>
        <w:ind w:firstLine="562" w:firstLineChars="200"/>
        <w:rPr>
          <w:rFonts w:ascii="Calibri" w:hAnsi="Calibri" w:eastAsia="宋体"/>
          <w:szCs w:val="28"/>
        </w:rPr>
      </w:pPr>
      <w:r>
        <w:rPr>
          <w:rFonts w:hint="eastAsia" w:ascii="Calibri" w:hAnsi="Calibri" w:eastAsia="宋体"/>
          <w:b/>
          <w:szCs w:val="28"/>
        </w:rPr>
        <w:t>推进车辆淘汰和油品控制。</w:t>
      </w:r>
      <w:r>
        <w:rPr>
          <w:rFonts w:hint="eastAsia" w:ascii="Calibri" w:hAnsi="Calibri" w:eastAsia="宋体"/>
          <w:szCs w:val="28"/>
        </w:rPr>
        <w:t>加大高污染车辆和老旧车淘汰力度，深入实施清洁柴油车（机）行动，基本淘汰国三及以下排放标准汽车。有序推广清洁能源汽车，加强机动车排污监控信息化建设和应用。严格实施机动车新车国六排放标准、在用汽、柴油车排放限值和道路运输车辆燃料消耗量限值准入标准。实现车用柴油、普通柴油、部分船用油“三油并轨”。严厉查处制、售和使用不合格燃油等行为。</w:t>
      </w:r>
    </w:p>
    <w:p w14:paraId="660E73C3">
      <w:pPr>
        <w:adjustRightInd w:val="0"/>
        <w:snapToGrid w:val="0"/>
        <w:spacing w:line="580" w:lineRule="exact"/>
        <w:ind w:firstLine="562" w:firstLineChars="200"/>
        <w:rPr>
          <w:rFonts w:ascii="Calibri" w:hAnsi="Calibri" w:eastAsia="宋体"/>
          <w:szCs w:val="28"/>
        </w:rPr>
      </w:pPr>
      <w:r>
        <w:rPr>
          <w:rFonts w:hint="eastAsia" w:ascii="Calibri" w:hAnsi="Calibri" w:eastAsia="宋体"/>
          <w:b/>
          <w:szCs w:val="28"/>
        </w:rPr>
        <w:t>加强移动源监管能力建设。</w:t>
      </w:r>
      <w:r>
        <w:rPr>
          <w:rFonts w:hint="eastAsia" w:ascii="Calibri" w:hAnsi="Calibri" w:eastAsia="宋体"/>
          <w:szCs w:val="28"/>
        </w:rPr>
        <w:t>推进全县主要交通干道安装黑烟车抓拍系统，完善渣土车、非道路移动机械监控系统。加强对货运车、公交车、出租车、长途客运车、旅游车等车辆排放状况的监督抽测。构建重型柴油车远程监控系统，开展多部门联合执法，强化现场路检路查和停放地监督抽测。强化公众监督，出台黑烟机动车、船舶举报制度。</w:t>
      </w:r>
    </w:p>
    <w:p w14:paraId="4FB0C25F">
      <w:pPr>
        <w:adjustRightInd w:val="0"/>
        <w:snapToGrid w:val="0"/>
        <w:spacing w:line="580" w:lineRule="exact"/>
        <w:ind w:firstLine="562" w:firstLineChars="200"/>
        <w:rPr>
          <w:rFonts w:ascii="Calibri" w:hAnsi="Calibri" w:eastAsia="宋体"/>
          <w:szCs w:val="28"/>
        </w:rPr>
      </w:pPr>
      <w:r>
        <w:rPr>
          <w:rFonts w:hint="eastAsia" w:ascii="Calibri" w:hAnsi="Calibri" w:eastAsia="宋体"/>
          <w:b/>
          <w:szCs w:val="28"/>
        </w:rPr>
        <w:t>开展非道路移动机械污染防治。</w:t>
      </w:r>
      <w:r>
        <w:rPr>
          <w:rFonts w:hint="eastAsia" w:ascii="Calibri" w:hAnsi="Calibri" w:eastAsia="宋体"/>
          <w:szCs w:val="28"/>
        </w:rPr>
        <w:t>严控不达标机械的销售和采购。以农用机械、建筑及市政施工机械和场内机械为重点，推进非道路移动机械柴油机尾气达标治理。全面推广使用工地智慧管理系统，完善非道路移动机械编码登记工作，推进工程机械安装精准定位系统和实时排放监控装置，加快监控信息化建设。</w:t>
      </w:r>
    </w:p>
    <w:p w14:paraId="072B02B9">
      <w:pPr>
        <w:adjustRightInd w:val="0"/>
        <w:snapToGrid w:val="0"/>
        <w:spacing w:line="580" w:lineRule="exact"/>
        <w:ind w:firstLine="562" w:firstLineChars="200"/>
        <w:rPr>
          <w:rFonts w:ascii="Calibri" w:hAnsi="Calibri" w:eastAsia="宋体"/>
          <w:szCs w:val="28"/>
        </w:rPr>
      </w:pPr>
      <w:r>
        <w:rPr>
          <w:rFonts w:hint="eastAsia" w:ascii="Calibri" w:hAnsi="Calibri" w:eastAsia="宋体"/>
          <w:b/>
          <w:szCs w:val="28"/>
        </w:rPr>
        <w:t>强化检验机构监督检查。</w:t>
      </w:r>
      <w:r>
        <w:rPr>
          <w:rFonts w:hint="eastAsia" w:ascii="Calibri" w:hAnsi="Calibri" w:eastAsia="宋体"/>
          <w:szCs w:val="28"/>
        </w:rPr>
        <w:t>严格执行机动车排放定期检验制度，严格落实机动车排放检验标准要求，加强对机动车排放检验机构的联网监管，推进检验机构规范化运营。实行“双随机、一公开”的监管方式，依法严肃查处违法的排放检验机构。</w:t>
      </w:r>
    </w:p>
    <w:p w14:paraId="7EDE4E35">
      <w:pPr>
        <w:pStyle w:val="8"/>
        <w:ind w:firstLine="570"/>
        <w:rPr>
          <w:rFonts w:ascii="Calibri" w:hAnsi="Calibri" w:eastAsia="宋体"/>
          <w:sz w:val="28"/>
          <w:szCs w:val="28"/>
        </w:rPr>
      </w:pPr>
      <w:bookmarkStart w:id="33" w:name="_Toc1286490727"/>
      <w:bookmarkStart w:id="34" w:name="_Toc72159199"/>
      <w:bookmarkStart w:id="35" w:name="_Toc84951002"/>
      <w:bookmarkStart w:id="36" w:name="_Toc109922124"/>
      <w:bookmarkStart w:id="37" w:name="_Toc10396"/>
      <w:bookmarkStart w:id="38" w:name="_Toc1390535212"/>
      <w:bookmarkStart w:id="39" w:name="_Toc307449270"/>
      <w:bookmarkStart w:id="40" w:name="_Toc434889948"/>
      <w:bookmarkStart w:id="41" w:name="_Toc54740921"/>
      <w:r>
        <w:rPr>
          <w:rFonts w:hint="eastAsia" w:ascii="Calibri" w:hAnsi="Calibri" w:eastAsia="宋体"/>
          <w:sz w:val="28"/>
          <w:szCs w:val="28"/>
        </w:rPr>
        <w:t>（4）推进大气面源污染治理</w:t>
      </w:r>
      <w:bookmarkEnd w:id="33"/>
      <w:bookmarkEnd w:id="34"/>
      <w:bookmarkEnd w:id="35"/>
      <w:bookmarkEnd w:id="36"/>
      <w:bookmarkEnd w:id="37"/>
      <w:bookmarkEnd w:id="38"/>
      <w:bookmarkEnd w:id="39"/>
      <w:bookmarkEnd w:id="40"/>
      <w:bookmarkEnd w:id="41"/>
    </w:p>
    <w:p w14:paraId="1B08FAE1">
      <w:pPr>
        <w:adjustRightInd w:val="0"/>
        <w:snapToGrid w:val="0"/>
        <w:spacing w:line="580" w:lineRule="exact"/>
        <w:ind w:firstLine="562" w:firstLineChars="200"/>
        <w:rPr>
          <w:rFonts w:ascii="Calibri" w:hAnsi="Calibri" w:eastAsia="宋体"/>
          <w:szCs w:val="28"/>
        </w:rPr>
      </w:pPr>
      <w:r>
        <w:rPr>
          <w:rFonts w:hint="eastAsia" w:ascii="Calibri" w:hAnsi="Calibri" w:eastAsia="宋体"/>
          <w:b/>
          <w:szCs w:val="28"/>
        </w:rPr>
        <w:t>推动农业源氨排放控制。</w:t>
      </w:r>
      <w:r>
        <w:rPr>
          <w:rFonts w:hint="eastAsia" w:ascii="Calibri" w:hAnsi="Calibri" w:eastAsia="宋体"/>
          <w:szCs w:val="28"/>
        </w:rPr>
        <w:t>开展棚舍养殖、粪便堆肥、污水处理等重点环节的恶臭污染治理，建设符合区域特点、养殖规模和防治要求的氨排放净化装置，减少大气中氨的排放。逐步推广种植业氨减排技术，调整氮肥结构，改进施肥方式，推进农业氨排放控制。严禁露天焚烧秸秆，因地制宜地大力推进秸秆能源化与饲料化利用。</w:t>
      </w:r>
    </w:p>
    <w:p w14:paraId="7BE5C3E4">
      <w:pPr>
        <w:adjustRightInd w:val="0"/>
        <w:snapToGrid w:val="0"/>
        <w:spacing w:line="580" w:lineRule="exact"/>
        <w:ind w:firstLine="562" w:firstLineChars="200"/>
        <w:rPr>
          <w:rFonts w:ascii="Calibri" w:hAnsi="Calibri" w:eastAsia="宋体"/>
          <w:szCs w:val="28"/>
        </w:rPr>
      </w:pPr>
      <w:r>
        <w:rPr>
          <w:rFonts w:hint="eastAsia" w:ascii="Calibri" w:hAnsi="Calibri" w:eastAsia="宋体"/>
          <w:b/>
          <w:szCs w:val="28"/>
        </w:rPr>
        <w:t>加强施工与道路扬尘污染防治。</w:t>
      </w:r>
      <w:r>
        <w:rPr>
          <w:rFonts w:hint="eastAsia" w:ascii="Calibri" w:hAnsi="Calibri" w:eastAsia="宋体"/>
          <w:szCs w:val="28"/>
        </w:rPr>
        <w:t>全面贯彻落实《乐山市扬尘污染防治条例》，严格施工扬尘监管，全面落实“六必须、六不准、六个百分百”，开展文明工地创建工作，加强预湿和喷淋抑尘措施和施工现场封闭措施管理，完善施工场地重点区域视频监控、在线监测设施。加强道路扬尘防治，实现各级各类道路清扫保洁“全覆盖”，建立健全渣土运输管理制度。</w:t>
      </w:r>
    </w:p>
    <w:p w14:paraId="798323C4">
      <w:pPr>
        <w:adjustRightInd w:val="0"/>
        <w:snapToGrid w:val="0"/>
        <w:spacing w:line="580" w:lineRule="exact"/>
        <w:ind w:firstLine="562" w:firstLineChars="200"/>
        <w:rPr>
          <w:rFonts w:ascii="Calibri" w:hAnsi="Calibri" w:eastAsia="宋体"/>
          <w:szCs w:val="28"/>
        </w:rPr>
      </w:pPr>
      <w:bookmarkStart w:id="42" w:name="_Toc348517344"/>
      <w:r>
        <w:rPr>
          <w:rFonts w:hint="eastAsia" w:ascii="Calibri" w:hAnsi="Calibri" w:eastAsia="宋体"/>
          <w:b/>
          <w:szCs w:val="28"/>
        </w:rPr>
        <w:t>强化餐饮油烟治理。</w:t>
      </w:r>
      <w:r>
        <w:rPr>
          <w:rFonts w:hint="eastAsia" w:ascii="Calibri" w:hAnsi="Calibri" w:eastAsia="宋体"/>
          <w:szCs w:val="28"/>
        </w:rPr>
        <w:t>加强餐饮油烟治理设施普及，强化油烟气治理的日常监管，城市建成区产生油烟的餐饮服务场所应当全部安装高效油烟净化装置，并加强设施运行监管。加大餐饮业监督执法，实现油烟治理设施每年定期检修、定期监测，监测不合格的限期整改。</w:t>
      </w:r>
      <w:bookmarkEnd w:id="42"/>
    </w:p>
    <w:p w14:paraId="5D4D5C97">
      <w:pPr>
        <w:pStyle w:val="51"/>
        <w:numPr>
          <w:ilvl w:val="0"/>
          <w:numId w:val="2"/>
        </w:numPr>
        <w:spacing w:line="360" w:lineRule="auto"/>
        <w:ind w:firstLine="562"/>
        <w:rPr>
          <w:rFonts w:asciiTheme="majorEastAsia" w:hAnsiTheme="majorEastAsia" w:eastAsiaTheme="majorEastAsia"/>
          <w:b/>
          <w:sz w:val="28"/>
          <w:szCs w:val="28"/>
        </w:rPr>
      </w:pPr>
      <w:r>
        <w:rPr>
          <w:rFonts w:hint="eastAsia" w:asciiTheme="majorEastAsia" w:hAnsiTheme="majorEastAsia" w:eastAsiaTheme="majorEastAsia"/>
          <w:b/>
          <w:sz w:val="28"/>
          <w:szCs w:val="28"/>
        </w:rPr>
        <w:t>稳步推进土壤污染防治</w:t>
      </w:r>
    </w:p>
    <w:p w14:paraId="7DBF7032">
      <w:pPr>
        <w:snapToGrid w:val="0"/>
        <w:spacing w:line="560" w:lineRule="exact"/>
        <w:ind w:firstLine="562" w:firstLineChars="200"/>
        <w:rPr>
          <w:rFonts w:ascii="Calibri" w:hAnsi="Calibri" w:eastAsia="宋体"/>
          <w:szCs w:val="28"/>
        </w:rPr>
      </w:pPr>
      <w:r>
        <w:rPr>
          <w:rFonts w:hint="eastAsia" w:ascii="Calibri" w:hAnsi="Calibri" w:eastAsia="宋体"/>
          <w:b/>
          <w:bCs/>
          <w:szCs w:val="28"/>
        </w:rPr>
        <w:t>深化土壤基础调查评估。</w:t>
      </w:r>
      <w:r>
        <w:rPr>
          <w:rFonts w:hint="eastAsia" w:ascii="Calibri" w:hAnsi="Calibri" w:eastAsia="宋体"/>
          <w:szCs w:val="28"/>
        </w:rPr>
        <w:t>持续推进重点区域土壤环境质量调查，开展加油站、化工企业、垃圾填埋场、集中式饮用水水源地等重点区域土壤环境风险评估。深化土壤详查成果运用，优化调整土壤环境质量类别划定，动态更新农用地土壤风险管控范围、建设用地土壤污染风险管控和修复名录。</w:t>
      </w:r>
    </w:p>
    <w:p w14:paraId="6A521902">
      <w:pPr>
        <w:snapToGrid w:val="0"/>
        <w:spacing w:line="560" w:lineRule="exact"/>
        <w:ind w:firstLine="562" w:firstLineChars="200"/>
        <w:rPr>
          <w:rFonts w:ascii="Calibri" w:hAnsi="Calibri" w:eastAsia="宋体"/>
          <w:szCs w:val="28"/>
        </w:rPr>
      </w:pPr>
      <w:r>
        <w:rPr>
          <w:rFonts w:hint="eastAsia" w:ascii="Calibri" w:hAnsi="Calibri" w:eastAsia="宋体"/>
          <w:b/>
          <w:bCs/>
          <w:szCs w:val="28"/>
        </w:rPr>
        <w:t>强化土壤污染风险管控。</w:t>
      </w:r>
      <w:r>
        <w:rPr>
          <w:rFonts w:hint="eastAsia" w:ascii="Calibri" w:hAnsi="Calibri" w:eastAsia="宋体"/>
          <w:szCs w:val="28"/>
        </w:rPr>
        <w:t>合理规划土地用途，严格空间管控，禁止在敏感区周边建设可能造成土壤污染的建设项目，防范新增土壤污染。完善土壤污染重点监管单位名录，纳入名录的应定期开展自行监测、土壤污染隐患排查。</w:t>
      </w:r>
    </w:p>
    <w:p w14:paraId="470BCE76">
      <w:pPr>
        <w:snapToGrid w:val="0"/>
        <w:spacing w:line="560" w:lineRule="exact"/>
        <w:ind w:firstLine="562" w:firstLineChars="200"/>
        <w:rPr>
          <w:rFonts w:ascii="Calibri" w:hAnsi="Calibri" w:eastAsia="宋体"/>
          <w:szCs w:val="28"/>
        </w:rPr>
      </w:pPr>
      <w:r>
        <w:rPr>
          <w:rFonts w:hint="eastAsia" w:ascii="Calibri" w:hAnsi="Calibri" w:eastAsia="宋体"/>
          <w:b/>
          <w:bCs/>
          <w:szCs w:val="28"/>
        </w:rPr>
        <w:t>持续推进土壤污染治理与修复试点。</w:t>
      </w:r>
      <w:r>
        <w:rPr>
          <w:rFonts w:hint="eastAsia" w:ascii="Calibri" w:hAnsi="Calibri" w:eastAsia="宋体"/>
          <w:szCs w:val="28"/>
        </w:rPr>
        <w:t>按照《乐山市土壤污染工作方案》、《井研县土壤污染防治工作方案》等要求，整治受污染农用地、企业用地污染地块等各类土壤污染源。持续推进竹园镇通光村、东林镇平安村、高佳村等3个村农用地土壤污染治理与修复试点示范项目。</w:t>
      </w:r>
    </w:p>
    <w:p w14:paraId="2DD10D59">
      <w:pPr>
        <w:snapToGrid w:val="0"/>
        <w:spacing w:line="560" w:lineRule="exact"/>
        <w:ind w:firstLine="562" w:firstLineChars="200"/>
        <w:rPr>
          <w:rFonts w:ascii="Calibri" w:hAnsi="Calibri" w:eastAsia="宋体"/>
          <w:szCs w:val="28"/>
        </w:rPr>
      </w:pPr>
      <w:r>
        <w:rPr>
          <w:rFonts w:hint="eastAsia" w:ascii="Calibri" w:hAnsi="Calibri" w:eastAsia="宋体"/>
          <w:b/>
          <w:bCs/>
          <w:szCs w:val="28"/>
        </w:rPr>
        <w:t>完善土壤污染防治监管体系。</w:t>
      </w:r>
      <w:r>
        <w:rPr>
          <w:rFonts w:hint="eastAsia" w:ascii="Calibri" w:hAnsi="Calibri" w:eastAsia="宋体"/>
          <w:szCs w:val="28"/>
        </w:rPr>
        <w:t>建立完善全县土壤环境监测网络、污染源监控体系，对接全国土壤环境信息平台，建设井研县土壤环境数据库，提高地方预警预测能力。加强基层人员配置和专业技术培训，提升土壤环境监测和监察执法能力。加强土壤污染治理与修复的全过程监管，开展修复成效第三方评估。实行土壤污染治理与修复终身责任制。</w:t>
      </w:r>
    </w:p>
    <w:p w14:paraId="7304CDC2">
      <w:pPr>
        <w:pStyle w:val="51"/>
        <w:spacing w:line="360" w:lineRule="auto"/>
        <w:ind w:firstLine="562"/>
        <w:rPr>
          <w:rFonts w:asciiTheme="majorEastAsia" w:hAnsiTheme="majorEastAsia" w:eastAsiaTheme="majorEastAsia"/>
          <w:b/>
          <w:sz w:val="28"/>
          <w:szCs w:val="28"/>
        </w:rPr>
      </w:pPr>
      <w:r>
        <w:rPr>
          <w:rFonts w:hint="eastAsia" w:asciiTheme="majorEastAsia" w:hAnsiTheme="majorEastAsia" w:eastAsiaTheme="majorEastAsia"/>
          <w:b/>
          <w:sz w:val="28"/>
          <w:szCs w:val="28"/>
        </w:rPr>
        <w:t>4</w:t>
      </w:r>
      <w:r>
        <w:rPr>
          <w:rFonts w:asciiTheme="majorEastAsia" w:hAnsiTheme="majorEastAsia" w:eastAsiaTheme="majorEastAsia"/>
          <w:b/>
          <w:sz w:val="28"/>
          <w:szCs w:val="28"/>
        </w:rPr>
        <w:t>、</w:t>
      </w:r>
      <w:r>
        <w:rPr>
          <w:rFonts w:hint="eastAsia" w:asciiTheme="majorEastAsia" w:hAnsiTheme="majorEastAsia" w:eastAsiaTheme="majorEastAsia"/>
          <w:b/>
          <w:sz w:val="28"/>
          <w:szCs w:val="28"/>
        </w:rPr>
        <w:t>持续加强固体废物利用与处置</w:t>
      </w:r>
    </w:p>
    <w:p w14:paraId="2F66C451">
      <w:pPr>
        <w:ind w:firstLine="562" w:firstLineChars="200"/>
        <w:rPr>
          <w:rFonts w:ascii="Calibri" w:hAnsi="Calibri" w:eastAsia="宋体"/>
          <w:szCs w:val="28"/>
        </w:rPr>
      </w:pPr>
      <w:r>
        <w:rPr>
          <w:rFonts w:hint="eastAsia" w:ascii="宋体" w:hAnsi="宋体" w:eastAsia="宋体" w:cs="宋体"/>
          <w:b/>
          <w:kern w:val="0"/>
          <w:szCs w:val="28"/>
        </w:rPr>
        <w:t>鼓励一般工业固废资源化利用。</w:t>
      </w:r>
      <w:r>
        <w:rPr>
          <w:rFonts w:hint="eastAsia" w:ascii="Calibri" w:hAnsi="Calibri" w:eastAsia="宋体"/>
          <w:szCs w:val="28"/>
        </w:rPr>
        <w:t>强化监管，加强工业固体废物利用与处置，推广清洁生产，从源头减少产生总量，对固体废物的收集、贮存、运输、利用和处理处置进行全程控制，实施从源头到终端的管理，有效控制并鼓励企业利用新工艺、新技术、新设备、开展技术改造，减少固废产生，对一般工业固体废物实施综合利用，就地资源转换。减少工业固体废物对环境的污染，实现固体废物减量化、资源化和无害化。推进建筑装饰、大件垃圾处置中心建设，实现废弃物再利用。</w:t>
      </w:r>
    </w:p>
    <w:p w14:paraId="3D1E47D9">
      <w:pPr>
        <w:snapToGrid w:val="0"/>
        <w:spacing w:line="560" w:lineRule="exact"/>
        <w:ind w:firstLine="562" w:firstLineChars="200"/>
        <w:rPr>
          <w:rFonts w:ascii="Calibri" w:hAnsi="Calibri" w:eastAsia="宋体"/>
          <w:szCs w:val="28"/>
        </w:rPr>
      </w:pPr>
      <w:r>
        <w:rPr>
          <w:rFonts w:hint="eastAsia" w:ascii="宋体" w:hAnsi="宋体" w:eastAsia="宋体" w:cs="宋体"/>
          <w:b/>
          <w:kern w:val="0"/>
          <w:szCs w:val="28"/>
        </w:rPr>
        <w:t>深入推进生活垃圾分类及</w:t>
      </w:r>
      <w:r>
        <w:rPr>
          <w:rFonts w:ascii="宋体" w:hAnsi="宋体" w:eastAsia="宋体" w:cs="宋体"/>
          <w:b/>
          <w:kern w:val="0"/>
          <w:szCs w:val="28"/>
        </w:rPr>
        <w:t>综合利用</w:t>
      </w:r>
      <w:r>
        <w:rPr>
          <w:rFonts w:hint="eastAsia" w:ascii="宋体" w:hAnsi="宋体" w:eastAsia="宋体" w:cs="宋体"/>
          <w:b/>
          <w:kern w:val="0"/>
          <w:szCs w:val="28"/>
        </w:rPr>
        <w:t>。</w:t>
      </w:r>
      <w:r>
        <w:rPr>
          <w:rFonts w:hint="eastAsia" w:ascii="Calibri" w:hAnsi="Calibri" w:eastAsia="宋体"/>
          <w:szCs w:val="28"/>
        </w:rPr>
        <w:t>制定《井研县生活垃圾分类实施方案》，全面推进生活垃圾源头减量、分类收集、清运和处理。可率先在公共机构开展垃圾分类作为试点示范，按照餐厨垃圾、可回收垃圾、有毒有害垃圾、其他垃圾进行分类收运。建立餐厨垃圾、可回收垃圾收运体系，杜绝分类后垃圾在收运处置过程中再次混收混装，可通过政府购买服务的方式将各类垃圾交由专业机构进行回收处理或者进行资源化利用。</w:t>
      </w:r>
    </w:p>
    <w:p w14:paraId="407EC448">
      <w:pPr>
        <w:pStyle w:val="51"/>
        <w:spacing w:line="360" w:lineRule="auto"/>
        <w:ind w:firstLine="562"/>
        <w:rPr>
          <w:rFonts w:ascii="Calibri" w:hAnsi="Calibri" w:eastAsia="宋体" w:cs="Times New Roman"/>
          <w:sz w:val="28"/>
          <w:szCs w:val="28"/>
        </w:rPr>
      </w:pPr>
      <w:r>
        <w:rPr>
          <w:rFonts w:hint="eastAsia" w:ascii="Calibri" w:hAnsi="Calibri" w:eastAsia="宋体" w:cs="Times New Roman"/>
          <w:b/>
          <w:bCs/>
          <w:sz w:val="28"/>
          <w:szCs w:val="28"/>
        </w:rPr>
        <w:t>加强危险废物安全处置。</w:t>
      </w:r>
      <w:r>
        <w:rPr>
          <w:rFonts w:hint="eastAsia" w:ascii="Calibri" w:hAnsi="Calibri" w:eastAsia="宋体" w:cs="Times New Roman"/>
          <w:sz w:val="28"/>
          <w:szCs w:val="28"/>
        </w:rPr>
        <w:t>建立医疗废物管理责任制，加大对医疗废物的监管力度，进一步加强医疗废物收集、运输、储存和焚烧管理工作，实行全过程控制，严格实施医疗废物集中处置。加大工业固危废监管力度，从生产、收集、运输、利用、处理、存放、处置等各个环节进行全过程监控，促进工业固体废物和危险废物按规范利用和处置。鼓励企业采取清洁生产等措施，推进危险废物源头减量与资源化利用。</w:t>
      </w:r>
    </w:p>
    <w:p w14:paraId="5C3525A4">
      <w:pPr>
        <w:pStyle w:val="51"/>
        <w:spacing w:line="360" w:lineRule="auto"/>
        <w:ind w:firstLine="562"/>
        <w:rPr>
          <w:rFonts w:asciiTheme="majorEastAsia" w:hAnsiTheme="majorEastAsia" w:eastAsiaTheme="majorEastAsia"/>
          <w:b/>
          <w:sz w:val="28"/>
          <w:szCs w:val="28"/>
        </w:rPr>
      </w:pPr>
      <w:r>
        <w:rPr>
          <w:rFonts w:hint="eastAsia" w:asciiTheme="majorEastAsia" w:hAnsiTheme="majorEastAsia" w:eastAsiaTheme="majorEastAsia"/>
          <w:b/>
          <w:sz w:val="28"/>
          <w:szCs w:val="28"/>
        </w:rPr>
        <w:t>5</w:t>
      </w:r>
      <w:r>
        <w:rPr>
          <w:rFonts w:asciiTheme="majorEastAsia" w:hAnsiTheme="majorEastAsia" w:eastAsiaTheme="majorEastAsia"/>
          <w:b/>
          <w:sz w:val="28"/>
          <w:szCs w:val="28"/>
        </w:rPr>
        <w:t>、</w:t>
      </w:r>
      <w:r>
        <w:rPr>
          <w:rFonts w:hint="eastAsia" w:asciiTheme="majorEastAsia" w:hAnsiTheme="majorEastAsia" w:eastAsiaTheme="majorEastAsia"/>
          <w:b/>
          <w:sz w:val="28"/>
          <w:szCs w:val="28"/>
        </w:rPr>
        <w:t>有效推进噪声长效监管</w:t>
      </w:r>
    </w:p>
    <w:p w14:paraId="6592E297">
      <w:pPr>
        <w:ind w:firstLine="562" w:firstLineChars="200"/>
        <w:rPr>
          <w:rFonts w:ascii="Calibri" w:hAnsi="Calibri" w:eastAsia="宋体"/>
          <w:szCs w:val="28"/>
        </w:rPr>
      </w:pPr>
      <w:r>
        <w:rPr>
          <w:rFonts w:ascii="宋体" w:hAnsi="宋体" w:eastAsia="宋体" w:cs="宋体"/>
          <w:b/>
          <w:kern w:val="0"/>
          <w:szCs w:val="28"/>
        </w:rPr>
        <w:t>强化噪声污染防治</w:t>
      </w:r>
      <w:r>
        <w:rPr>
          <w:rFonts w:hint="eastAsia" w:ascii="宋体" w:hAnsi="宋体" w:eastAsia="宋体" w:cs="宋体"/>
          <w:b/>
          <w:kern w:val="0"/>
          <w:szCs w:val="28"/>
        </w:rPr>
        <w:t>。</w:t>
      </w:r>
      <w:r>
        <w:rPr>
          <w:rFonts w:hint="eastAsia" w:ascii="Calibri" w:hAnsi="Calibri" w:eastAsia="宋体"/>
          <w:szCs w:val="28"/>
        </w:rPr>
        <w:t>组织开展声环境功能区划定。加强道路交通噪声污染防治，持续推进国道省道等交通干线两侧噪声敏感点的隔声设施建设。加强机动车禁鸣管理，优化扩大交通管制区范围，提高道路综合通行效能。严格社会噪声污染整治，持续开展噪声扰民整治，重点加强对餐饮业、娱乐业、商业等噪声污染源的控制管理，鼓励使用吸声、隔声建筑材料，严格落实限期治理制度，并加强后期监管。继续完善施工噪声管理规定，合理安排夜间生产，进一步减少夜间噪声扰民现象。大力推广低噪声工艺设备，禁止生产、销售不符合国家、行业、地方标准规定的产品。</w:t>
      </w:r>
    </w:p>
    <w:p w14:paraId="7DDAE1EC">
      <w:pPr>
        <w:spacing w:line="240" w:lineRule="auto"/>
        <w:ind w:firstLine="562" w:firstLineChars="200"/>
        <w:rPr>
          <w:rFonts w:ascii="Calibri" w:hAnsi="Calibri" w:eastAsia="宋体"/>
          <w:szCs w:val="28"/>
        </w:rPr>
      </w:pPr>
      <w:r>
        <w:rPr>
          <w:rFonts w:ascii="宋体" w:hAnsi="宋体" w:eastAsia="宋体" w:cs="宋体"/>
          <w:b/>
          <w:kern w:val="0"/>
          <w:szCs w:val="28"/>
        </w:rPr>
        <w:t>加强噪声治理长效监管</w:t>
      </w:r>
      <w:r>
        <w:rPr>
          <w:rFonts w:hint="eastAsia" w:ascii="宋体" w:hAnsi="宋体" w:eastAsia="宋体" w:cs="宋体"/>
          <w:b/>
          <w:kern w:val="0"/>
          <w:szCs w:val="28"/>
        </w:rPr>
        <w:t>。</w:t>
      </w:r>
      <w:r>
        <w:rPr>
          <w:rFonts w:hint="eastAsia" w:ascii="Calibri" w:hAnsi="Calibri" w:eastAsia="宋体"/>
          <w:szCs w:val="28"/>
        </w:rPr>
        <w:t>逐步推进县城环境噪声自动监测体系建设，试点绘制县城噪声地图；结合县生态环境监测站，及时科学鉴定噪声污染，为声环境评价、治理、执法提供依据。严厉打击噪声超标排放、扰民的违法行为，加强噪声投诉平台的建设和噪声污染的日常监督管理工作，及时处理各类噪声扰民投诉件，加强重复投诉点督办。加强噪声污染防治宣传教育，提倡健康文明生活。建立公众监督网络，形成部门联动、全民参与的监管体系。</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8AE0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7B12B44A">
            <w:pPr>
              <w:spacing w:line="240" w:lineRule="auto"/>
              <w:jc w:val="center"/>
              <w:rPr>
                <w:rFonts w:ascii="Calibri" w:hAnsi="Calibri" w:eastAsia="宋体"/>
                <w:szCs w:val="28"/>
              </w:rPr>
            </w:pPr>
            <w:r>
              <w:rPr>
                <w:rFonts w:eastAsia="黑体"/>
                <w:b/>
                <w:bCs/>
                <w:szCs w:val="21"/>
              </w:rPr>
              <w:t>专栏</w:t>
            </w:r>
            <w:r>
              <w:rPr>
                <w:rFonts w:hint="eastAsia" w:eastAsia="黑体"/>
                <w:b/>
                <w:bCs/>
                <w:szCs w:val="21"/>
              </w:rPr>
              <w:t>3</w:t>
            </w:r>
            <w:r>
              <w:rPr>
                <w:rFonts w:eastAsia="黑体"/>
                <w:b/>
                <w:bCs/>
                <w:szCs w:val="21"/>
              </w:rPr>
              <w:t xml:space="preserve">  </w:t>
            </w:r>
            <w:r>
              <w:rPr>
                <w:rFonts w:hint="eastAsia" w:eastAsia="黑体"/>
                <w:b/>
                <w:bCs/>
                <w:szCs w:val="21"/>
                <w:lang w:val="zh-CN"/>
              </w:rPr>
              <w:t>环境污染治理</w:t>
            </w:r>
            <w:r>
              <w:rPr>
                <w:rFonts w:eastAsia="黑体"/>
                <w:b/>
                <w:bCs/>
                <w:szCs w:val="21"/>
              </w:rPr>
              <w:t>重点</w:t>
            </w:r>
            <w:r>
              <w:rPr>
                <w:rFonts w:hint="eastAsia" w:eastAsia="黑体"/>
                <w:b/>
                <w:bCs/>
                <w:szCs w:val="21"/>
              </w:rPr>
              <w:t>项目</w:t>
            </w:r>
          </w:p>
        </w:tc>
      </w:tr>
      <w:tr w14:paraId="5A75C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6CEE0D8A">
            <w:pPr>
              <w:ind w:firstLine="466" w:firstLineChars="200"/>
              <w:rPr>
                <w:rFonts w:eastAsia="仿宋_GB2312"/>
                <w:spacing w:val="-4"/>
                <w:sz w:val="24"/>
                <w:szCs w:val="24"/>
              </w:rPr>
            </w:pPr>
            <w:r>
              <w:rPr>
                <w:rFonts w:hint="eastAsia" w:eastAsia="仿宋_GB2312"/>
                <w:b/>
                <w:spacing w:val="-4"/>
                <w:sz w:val="24"/>
                <w:szCs w:val="24"/>
              </w:rPr>
              <w:t>1、污水处理设施水质提升工程。</w:t>
            </w:r>
            <w:r>
              <w:rPr>
                <w:rFonts w:hint="eastAsia" w:eastAsia="仿宋_GB2312"/>
                <w:spacing w:val="-4"/>
                <w:sz w:val="24"/>
                <w:szCs w:val="24"/>
              </w:rPr>
              <w:t>井研县一、二污水处理厂内部改造提升和尾水生态湿地配套工程，千佛、三江、马踏、王村污水处理站尾水人工湿地工程建设。</w:t>
            </w:r>
          </w:p>
          <w:p w14:paraId="08E4CB4E">
            <w:pPr>
              <w:ind w:firstLine="466" w:firstLineChars="200"/>
              <w:rPr>
                <w:rFonts w:eastAsia="仿宋_GB2312"/>
                <w:spacing w:val="-4"/>
                <w:sz w:val="24"/>
                <w:szCs w:val="24"/>
              </w:rPr>
            </w:pPr>
            <w:r>
              <w:rPr>
                <w:rFonts w:hint="eastAsia" w:eastAsia="仿宋_GB2312"/>
                <w:b/>
                <w:spacing w:val="-4"/>
                <w:sz w:val="24"/>
                <w:szCs w:val="24"/>
              </w:rPr>
              <w:t>2、井研县中心城区综合整治工程（雨污分流）。</w:t>
            </w:r>
            <w:r>
              <w:rPr>
                <w:rFonts w:hint="eastAsia" w:eastAsia="仿宋_GB2312"/>
                <w:spacing w:val="-4"/>
                <w:sz w:val="24"/>
                <w:szCs w:val="24"/>
              </w:rPr>
              <w:t>对县城老城区约4.5公里污水管网实施雨污分流，提高污水收集率</w:t>
            </w:r>
          </w:p>
          <w:p w14:paraId="3A1BFD02">
            <w:pPr>
              <w:ind w:firstLine="466" w:firstLineChars="200"/>
              <w:rPr>
                <w:rFonts w:eastAsia="仿宋_GB2312"/>
                <w:spacing w:val="-4"/>
                <w:sz w:val="24"/>
                <w:szCs w:val="24"/>
              </w:rPr>
            </w:pPr>
            <w:r>
              <w:rPr>
                <w:rFonts w:hint="eastAsia" w:eastAsia="仿宋_GB2312"/>
                <w:b/>
                <w:spacing w:val="-4"/>
                <w:sz w:val="24"/>
                <w:szCs w:val="24"/>
              </w:rPr>
              <w:t>3、</w:t>
            </w:r>
            <w:r>
              <w:rPr>
                <w:rFonts w:ascii="仿宋_GB2312" w:hAnsi="仿宋_GB2312" w:eastAsia="仿宋_GB2312" w:cs="仿宋_GB2312"/>
                <w:b/>
                <w:bCs/>
                <w:kern w:val="0"/>
                <w:sz w:val="24"/>
                <w:szCs w:val="24"/>
              </w:rPr>
              <w:t>马踏镇等 6 个镇排</w:t>
            </w:r>
            <w:r>
              <w:rPr>
                <w:rFonts w:hint="eastAsia" w:eastAsia="仿宋_GB2312"/>
                <w:b/>
                <w:bCs/>
                <w:spacing w:val="-4"/>
                <w:sz w:val="24"/>
                <w:szCs w:val="24"/>
              </w:rPr>
              <w:t>水管网改造修复项目。</w:t>
            </w:r>
            <w:r>
              <w:rPr>
                <w:rFonts w:hint="eastAsia" w:eastAsia="仿宋_GB2312"/>
                <w:spacing w:val="-4"/>
                <w:sz w:val="24"/>
                <w:szCs w:val="24"/>
              </w:rPr>
              <w:t>加强老旧生活污水管网“病害”查找、改造和破损修复。</w:t>
            </w:r>
          </w:p>
          <w:p w14:paraId="72C7C54D">
            <w:pPr>
              <w:ind w:firstLine="466" w:firstLineChars="200"/>
              <w:jc w:val="left"/>
              <w:rPr>
                <w:rFonts w:eastAsia="仿宋_GB2312"/>
                <w:spacing w:val="-4"/>
                <w:sz w:val="24"/>
                <w:szCs w:val="24"/>
              </w:rPr>
            </w:pPr>
            <w:r>
              <w:rPr>
                <w:rFonts w:hint="eastAsia" w:eastAsia="仿宋_GB2312"/>
                <w:b/>
                <w:spacing w:val="-4"/>
                <w:sz w:val="24"/>
                <w:szCs w:val="24"/>
              </w:rPr>
              <w:t>4、</w:t>
            </w:r>
            <w:r>
              <w:rPr>
                <w:rFonts w:ascii="仿宋_GB2312" w:hAnsi="仿宋_GB2312" w:eastAsia="仿宋_GB2312" w:cs="仿宋_GB2312"/>
                <w:b/>
                <w:bCs/>
                <w:kern w:val="0"/>
                <w:sz w:val="24"/>
                <w:szCs w:val="24"/>
              </w:rPr>
              <w:t>马踏镇等 14 个建制镇污水处理设施运营维护管理项目</w:t>
            </w:r>
            <w:r>
              <w:rPr>
                <w:rFonts w:hint="eastAsia" w:eastAsia="仿宋_GB2312"/>
                <w:b/>
                <w:bCs/>
                <w:spacing w:val="-4"/>
                <w:sz w:val="24"/>
                <w:szCs w:val="24"/>
              </w:rPr>
              <w:t>。</w:t>
            </w:r>
            <w:r>
              <w:rPr>
                <w:rFonts w:hint="eastAsia" w:eastAsia="仿宋_GB2312"/>
                <w:spacing w:val="-4"/>
                <w:sz w:val="24"/>
                <w:szCs w:val="24"/>
              </w:rPr>
              <w:t>配套马踏镇等集镇生活污水处理站在线监控系统，完善专业运行维护管理和经费保障机制，确保污水处理设施“建成能运行、运行能达标”</w:t>
            </w:r>
          </w:p>
          <w:p w14:paraId="532FD385">
            <w:pPr>
              <w:ind w:firstLine="582" w:firstLineChars="250"/>
              <w:rPr>
                <w:rFonts w:eastAsia="仿宋_GB2312"/>
                <w:spacing w:val="-4"/>
                <w:sz w:val="24"/>
                <w:szCs w:val="24"/>
              </w:rPr>
            </w:pPr>
            <w:r>
              <w:rPr>
                <w:rFonts w:hint="eastAsia" w:eastAsia="仿宋_GB2312"/>
                <w:b/>
                <w:spacing w:val="-4"/>
                <w:sz w:val="24"/>
                <w:szCs w:val="24"/>
              </w:rPr>
              <w:t>5、岷茫水系联通工程。</w:t>
            </w:r>
            <w:r>
              <w:rPr>
                <w:rFonts w:hint="eastAsia" w:eastAsia="仿宋_GB2312"/>
                <w:spacing w:val="-4"/>
                <w:sz w:val="24"/>
                <w:szCs w:val="24"/>
              </w:rPr>
              <w:t>新建26公里引水隧道，对新桥水坝进行扩建，年增加茫溪河引水能力7000万方。</w:t>
            </w:r>
          </w:p>
          <w:p w14:paraId="1FABC9E4">
            <w:pPr>
              <w:ind w:firstLine="582" w:firstLineChars="250"/>
              <w:rPr>
                <w:rFonts w:eastAsia="仿宋_GB2312"/>
                <w:spacing w:val="-4"/>
                <w:sz w:val="24"/>
                <w:szCs w:val="24"/>
              </w:rPr>
            </w:pPr>
            <w:r>
              <w:rPr>
                <w:rFonts w:hint="eastAsia" w:eastAsia="仿宋_GB2312"/>
                <w:b/>
                <w:spacing w:val="-4"/>
                <w:sz w:val="24"/>
                <w:szCs w:val="24"/>
              </w:rPr>
              <w:t>6、生态补水工程。</w:t>
            </w:r>
            <w:r>
              <w:rPr>
                <w:rFonts w:hint="eastAsia" w:eastAsia="仿宋_GB2312"/>
                <w:spacing w:val="-4"/>
                <w:sz w:val="24"/>
                <w:szCs w:val="24"/>
              </w:rPr>
              <w:t>毛坝水库每年向泥溪河提供300万方生态补水，确保河流水质稳定改善；桑树嘴水库每年不低于3次对磨池河进行生态补水，确保河流水质稳定改善，同时在桑树嘴水库尾端修建生态湿地40亩和铺设补水专用管道，进一步净化水库补给水源，提升水库水质。</w:t>
            </w:r>
          </w:p>
          <w:p w14:paraId="74A9CE02">
            <w:pPr>
              <w:ind w:firstLine="582" w:firstLineChars="250"/>
              <w:rPr>
                <w:rFonts w:eastAsia="仿宋_GB2312"/>
                <w:spacing w:val="-4"/>
                <w:sz w:val="24"/>
                <w:szCs w:val="24"/>
              </w:rPr>
            </w:pPr>
            <w:r>
              <w:rPr>
                <w:rFonts w:hint="eastAsia" w:eastAsia="仿宋_GB2312"/>
                <w:b/>
                <w:spacing w:val="-4"/>
                <w:sz w:val="24"/>
                <w:szCs w:val="24"/>
              </w:rPr>
              <w:t>7、茫溪河流域生态修复工程。</w:t>
            </w:r>
            <w:r>
              <w:rPr>
                <w:rFonts w:hint="eastAsia" w:eastAsia="仿宋_GB2312"/>
                <w:spacing w:val="-4"/>
                <w:sz w:val="24"/>
                <w:szCs w:val="24"/>
              </w:rPr>
              <w:t>对茫溪河污染底泥进行清理，以消除内源性污染源，促进河道生态系统的全面恢复；投放高效微生物菌剂，通过“生物降解”原理，将河道内源污染中的有机质进行消解和转化；配植鸢尾、菖蒲、旱伞草等多种水生植物，降解水体中的主要污染物。</w:t>
            </w:r>
          </w:p>
          <w:p w14:paraId="6035E91E">
            <w:pPr>
              <w:ind w:firstLine="582" w:firstLineChars="250"/>
              <w:rPr>
                <w:rFonts w:eastAsia="仿宋_GB2312"/>
                <w:spacing w:val="-4"/>
                <w:sz w:val="24"/>
                <w:szCs w:val="24"/>
              </w:rPr>
            </w:pPr>
            <w:r>
              <w:rPr>
                <w:rFonts w:hint="eastAsia" w:eastAsia="仿宋_GB2312"/>
                <w:b/>
                <w:spacing w:val="-4"/>
                <w:sz w:val="24"/>
                <w:szCs w:val="24"/>
              </w:rPr>
              <w:t>8、茫溪河生态拦截带项目。</w:t>
            </w:r>
            <w:r>
              <w:rPr>
                <w:rFonts w:hint="eastAsia" w:eastAsia="仿宋_GB2312"/>
                <w:spacing w:val="-4"/>
                <w:sz w:val="24"/>
                <w:szCs w:val="24"/>
              </w:rPr>
              <w:t>在茫溪河河道两岸纵深建设30-50米的生态拦截带（约40公里），固化水土，拦截农业面源污染，以充分、有效的收集、滞留、净化河道陆向径流污染，减少进入河道的污染物总量。</w:t>
            </w:r>
          </w:p>
          <w:p w14:paraId="55B087E2">
            <w:pPr>
              <w:ind w:firstLine="582" w:firstLineChars="250"/>
              <w:rPr>
                <w:rFonts w:eastAsia="仿宋_GB2312"/>
                <w:spacing w:val="-4"/>
                <w:sz w:val="24"/>
                <w:szCs w:val="24"/>
              </w:rPr>
            </w:pPr>
            <w:r>
              <w:rPr>
                <w:rFonts w:hint="eastAsia" w:eastAsia="仿宋_GB2312"/>
                <w:b/>
                <w:bCs/>
                <w:spacing w:val="-4"/>
                <w:sz w:val="24"/>
                <w:szCs w:val="24"/>
              </w:rPr>
              <w:t>9、磨池河流域生态修复与保护工程。</w:t>
            </w:r>
            <w:r>
              <w:rPr>
                <w:rFonts w:hint="eastAsia" w:eastAsia="仿宋_GB2312"/>
                <w:spacing w:val="-4"/>
                <w:sz w:val="24"/>
                <w:szCs w:val="24"/>
              </w:rPr>
              <w:t>在宝五镇三教段河道，通过投放菌剂、修建生态浮床、鹅卵护岸、建人工湿地、搞泥间氧化、修建滚水坝、种植水生植物等，进一步降解水体中的主要污染物，有效改善磨池河水环境质量。</w:t>
            </w:r>
          </w:p>
          <w:p w14:paraId="3D831897">
            <w:pPr>
              <w:ind w:firstLine="466" w:firstLineChars="200"/>
              <w:rPr>
                <w:rFonts w:eastAsia="仿宋_GB2312"/>
                <w:spacing w:val="-4"/>
                <w:sz w:val="24"/>
                <w:szCs w:val="24"/>
              </w:rPr>
            </w:pPr>
            <w:r>
              <w:rPr>
                <w:rFonts w:hint="eastAsia" w:eastAsia="仿宋_GB2312"/>
                <w:b/>
                <w:bCs/>
                <w:spacing w:val="-4"/>
                <w:sz w:val="24"/>
                <w:szCs w:val="24"/>
              </w:rPr>
              <w:t>10、泥溪河流域生态保护修复与保护工程。</w:t>
            </w:r>
            <w:r>
              <w:rPr>
                <w:rFonts w:hint="eastAsia" w:eastAsia="仿宋_GB2312"/>
                <w:spacing w:val="-4"/>
                <w:sz w:val="24"/>
                <w:szCs w:val="24"/>
              </w:rPr>
              <w:t>实施丰润水产园区末端锁扣塘、红庙尾水治理湿地、泥溪河纯复段生态修复，有效改善流域水环境质量。开展红庙村尾水治理湿地至郭家桥生态拦截带和生态走廊建设。</w:t>
            </w:r>
          </w:p>
          <w:p w14:paraId="0B831291">
            <w:pPr>
              <w:ind w:firstLine="466" w:firstLineChars="200"/>
              <w:rPr>
                <w:rFonts w:eastAsia="仿宋_GB2312"/>
                <w:spacing w:val="-4"/>
                <w:sz w:val="24"/>
                <w:szCs w:val="24"/>
              </w:rPr>
            </w:pPr>
            <w:r>
              <w:rPr>
                <w:rFonts w:hint="eastAsia" w:eastAsia="仿宋_GB2312"/>
                <w:b/>
                <w:bCs/>
                <w:spacing w:val="-4"/>
                <w:sz w:val="24"/>
                <w:szCs w:val="24"/>
              </w:rPr>
              <w:t>11、水库生态修复工程。</w:t>
            </w:r>
            <w:r>
              <w:rPr>
                <w:rFonts w:hint="eastAsia" w:eastAsia="仿宋_GB2312"/>
                <w:spacing w:val="-4"/>
                <w:sz w:val="24"/>
                <w:szCs w:val="24"/>
              </w:rPr>
              <w:t>对桑树嘴水库实施复合硅酸铝生态修复示范试点治理，改善水库水质。</w:t>
            </w:r>
          </w:p>
          <w:p w14:paraId="0643966F">
            <w:pPr>
              <w:ind w:firstLine="466" w:firstLineChars="200"/>
              <w:rPr>
                <w:rFonts w:eastAsia="仿宋_GB2312"/>
                <w:spacing w:val="-4"/>
                <w:sz w:val="24"/>
                <w:szCs w:val="24"/>
              </w:rPr>
            </w:pPr>
            <w:r>
              <w:rPr>
                <w:rFonts w:hint="eastAsia" w:eastAsia="仿宋_GB2312"/>
                <w:b/>
                <w:bCs/>
                <w:spacing w:val="-4"/>
                <w:sz w:val="24"/>
                <w:szCs w:val="24"/>
              </w:rPr>
              <w:t>12</w:t>
            </w:r>
            <w:r>
              <w:rPr>
                <w:rFonts w:hint="eastAsia" w:eastAsia="仿宋_GB2312"/>
                <w:spacing w:val="-4"/>
                <w:sz w:val="24"/>
                <w:szCs w:val="24"/>
              </w:rPr>
              <w:t>、</w:t>
            </w:r>
            <w:r>
              <w:rPr>
                <w:rFonts w:hint="eastAsia" w:eastAsia="仿宋_GB2312"/>
                <w:b/>
                <w:bCs/>
                <w:spacing w:val="-4"/>
                <w:sz w:val="24"/>
                <w:szCs w:val="24"/>
              </w:rPr>
              <w:t>重点城镇中小河流综合治理。</w:t>
            </w:r>
            <w:r>
              <w:rPr>
                <w:rFonts w:hint="eastAsia" w:eastAsia="仿宋_GB2312"/>
                <w:spacing w:val="-4"/>
                <w:sz w:val="24"/>
                <w:szCs w:val="24"/>
              </w:rPr>
              <w:t>实施研城镇红太阳村段、千佛镇汪山埂段、千佛镇石家桥村段、三江镇三江村段等7段河道的防洪治理工程，综合治理河段长37.5公里，新建堤防19.8公里，新建护岸8.0公里，疏浚河道31.5公里。</w:t>
            </w:r>
          </w:p>
          <w:p w14:paraId="330F5A10">
            <w:pPr>
              <w:numPr>
                <w:ilvl w:val="255"/>
                <w:numId w:val="0"/>
              </w:numPr>
              <w:ind w:firstLine="466" w:firstLineChars="200"/>
              <w:rPr>
                <w:rFonts w:eastAsia="仿宋_GB2312"/>
                <w:spacing w:val="-4"/>
                <w:sz w:val="24"/>
                <w:szCs w:val="24"/>
              </w:rPr>
            </w:pPr>
            <w:r>
              <w:rPr>
                <w:rFonts w:hint="eastAsia" w:eastAsia="仿宋_GB2312"/>
                <w:b/>
                <w:spacing w:val="-4"/>
                <w:sz w:val="24"/>
                <w:szCs w:val="24"/>
              </w:rPr>
              <w:t>13、大佛水库饮用水源保护。</w:t>
            </w:r>
            <w:r>
              <w:rPr>
                <w:rFonts w:hint="eastAsia" w:eastAsia="仿宋_GB2312"/>
                <w:spacing w:val="-4"/>
                <w:sz w:val="24"/>
                <w:szCs w:val="24"/>
              </w:rPr>
              <w:t>开展底泥清淤、生态治理；一二级保护区拆迁、绿化；新建排污引流、泄洪道、隔离带、生态林、防护林；信息监测系统建设。</w:t>
            </w:r>
          </w:p>
          <w:p w14:paraId="6D017F7C">
            <w:pPr>
              <w:numPr>
                <w:ilvl w:val="255"/>
                <w:numId w:val="0"/>
              </w:numPr>
              <w:ind w:firstLine="466" w:firstLineChars="200"/>
              <w:rPr>
                <w:rFonts w:eastAsia="仿宋_GB2312"/>
                <w:spacing w:val="-4"/>
                <w:sz w:val="24"/>
                <w:szCs w:val="24"/>
              </w:rPr>
            </w:pPr>
            <w:r>
              <w:rPr>
                <w:rFonts w:hint="eastAsia" w:eastAsia="仿宋_GB2312"/>
                <w:b/>
                <w:spacing w:val="-4"/>
                <w:sz w:val="24"/>
                <w:szCs w:val="24"/>
              </w:rPr>
              <w:t>14、饮用水源地保护区规范化建设与整治。</w:t>
            </w:r>
            <w:r>
              <w:rPr>
                <w:rFonts w:hint="eastAsia" w:eastAsia="仿宋_GB2312"/>
                <w:spacing w:val="-4"/>
                <w:sz w:val="24"/>
                <w:szCs w:val="24"/>
              </w:rPr>
              <w:t>对马踏镇（原黄钵乡）、纯复镇（原纯复乡）、宝五镇（原宝五乡）、周坡镇（原乌抛乡和大佛乡）、竹园镇（原胜泉乡）6 个集中式饮用水水源地进行规范化建设，新增水源地隔离网和水源地标识、标牌，设置视频监控系统；对周坡镇、东林镇、镇阳镇（含天云社区）、门坎镇、高凤镇 6 个集中式饮用水水源地进行规范化建设，新增水源地隔离网和水源地标识、标牌；建设水源涵养林 210 亩。</w:t>
            </w:r>
          </w:p>
          <w:p w14:paraId="18624D2A">
            <w:pPr>
              <w:numPr>
                <w:ilvl w:val="255"/>
                <w:numId w:val="0"/>
              </w:numPr>
              <w:ind w:firstLine="466" w:firstLineChars="200"/>
              <w:rPr>
                <w:rFonts w:eastAsia="仿宋_GB2312"/>
                <w:spacing w:val="-4"/>
                <w:sz w:val="24"/>
                <w:szCs w:val="24"/>
              </w:rPr>
            </w:pPr>
            <w:r>
              <w:rPr>
                <w:rFonts w:hint="eastAsia" w:eastAsia="仿宋_GB2312"/>
                <w:b/>
                <w:spacing w:val="-4"/>
                <w:sz w:val="24"/>
                <w:szCs w:val="24"/>
              </w:rPr>
              <w:t>15、开展水源地保护区环境综合整治。</w:t>
            </w:r>
            <w:r>
              <w:rPr>
                <w:rFonts w:hint="eastAsia" w:eastAsia="仿宋_GB2312"/>
                <w:spacing w:val="-4"/>
                <w:sz w:val="24"/>
                <w:szCs w:val="24"/>
              </w:rPr>
              <w:t>对研经镇等6个集镇饮用水源地二级保护区及准保护区内非点源污染进行综合整治，整治涉及农户共计930户；对周坡等7个集镇饮用水源地二级保护区及准保护区内非点源污染进行综合整治，整治涉及农户共计540户。</w:t>
            </w:r>
          </w:p>
          <w:p w14:paraId="6AE6E66A">
            <w:pPr>
              <w:numPr>
                <w:ilvl w:val="255"/>
                <w:numId w:val="0"/>
              </w:numPr>
              <w:ind w:firstLine="466" w:firstLineChars="200"/>
              <w:rPr>
                <w:rFonts w:eastAsia="仿宋_GB2312"/>
                <w:spacing w:val="-4"/>
                <w:sz w:val="24"/>
                <w:szCs w:val="24"/>
              </w:rPr>
            </w:pPr>
            <w:r>
              <w:rPr>
                <w:rFonts w:hint="eastAsia" w:eastAsia="仿宋_GB2312"/>
                <w:b/>
                <w:spacing w:val="-4"/>
                <w:sz w:val="24"/>
                <w:szCs w:val="24"/>
              </w:rPr>
              <w:t>16、砖瓦企业废气深度治理及回收处置系统建设。</w:t>
            </w:r>
            <w:r>
              <w:rPr>
                <w:rFonts w:hint="eastAsia" w:eastAsia="仿宋_GB2312"/>
                <w:spacing w:val="-4"/>
                <w:sz w:val="24"/>
                <w:szCs w:val="24"/>
              </w:rPr>
              <w:t>开展井研县金锌耐火材料厂、井研县凯盛节能机砖厂、井研县龙马机砖厂、井研县共发机砖厂、乐山市瑞祯建材有限公司等5家砖瓦企业废气深度治理，建设回收处置系统。</w:t>
            </w:r>
          </w:p>
          <w:p w14:paraId="269BEDD2">
            <w:pPr>
              <w:numPr>
                <w:ilvl w:val="255"/>
                <w:numId w:val="0"/>
              </w:numPr>
              <w:ind w:firstLine="466" w:firstLineChars="200"/>
              <w:rPr>
                <w:rFonts w:eastAsia="仿宋_GB2312"/>
                <w:spacing w:val="-4"/>
                <w:sz w:val="24"/>
                <w:szCs w:val="24"/>
              </w:rPr>
            </w:pPr>
            <w:r>
              <w:rPr>
                <w:rFonts w:hint="eastAsia" w:eastAsia="仿宋_GB2312"/>
                <w:b/>
                <w:spacing w:val="-4"/>
                <w:sz w:val="24"/>
                <w:szCs w:val="24"/>
              </w:rPr>
              <w:t>17、陶瓷行业大气污染防治深度治理项目。</w:t>
            </w:r>
            <w:r>
              <w:rPr>
                <w:rFonts w:hint="eastAsia" w:eastAsia="仿宋_GB2312"/>
                <w:spacing w:val="-4"/>
                <w:sz w:val="24"/>
                <w:szCs w:val="24"/>
              </w:rPr>
              <w:t>对陶瓷行业无组织排放、烧成窑和喷雾干燥塔烟气实施深度治理。</w:t>
            </w:r>
          </w:p>
          <w:p w14:paraId="110F30E9">
            <w:pPr>
              <w:numPr>
                <w:ilvl w:val="255"/>
                <w:numId w:val="0"/>
              </w:numPr>
              <w:ind w:firstLine="466" w:firstLineChars="200"/>
              <w:rPr>
                <w:rFonts w:eastAsia="仿宋_GB2312"/>
                <w:spacing w:val="-4"/>
                <w:sz w:val="24"/>
                <w:szCs w:val="24"/>
              </w:rPr>
            </w:pPr>
            <w:r>
              <w:rPr>
                <w:rFonts w:hint="eastAsia" w:eastAsia="仿宋_GB2312"/>
                <w:b/>
                <w:spacing w:val="-4"/>
                <w:sz w:val="24"/>
                <w:szCs w:val="24"/>
              </w:rPr>
              <w:t>18、VOCs排放综合治理项目。</w:t>
            </w:r>
            <w:r>
              <w:rPr>
                <w:rFonts w:hint="eastAsia" w:eastAsia="仿宋_GB2312"/>
                <w:spacing w:val="-4"/>
                <w:sz w:val="24"/>
                <w:szCs w:val="24"/>
              </w:rPr>
              <w:t>（1）家居小镇VOCs集中治理：推进家居小镇VOCS蓄力燃烧设施建设，配套收集主管道建设，并配套热回收系统。（2）重点行业、企业VOCs排放综合治理：全面完成重点行业、重点企业VOCs综合整治工作。</w:t>
            </w:r>
          </w:p>
          <w:p w14:paraId="34CEC231">
            <w:pPr>
              <w:numPr>
                <w:ilvl w:val="255"/>
                <w:numId w:val="0"/>
              </w:numPr>
              <w:ind w:firstLine="466" w:firstLineChars="200"/>
              <w:rPr>
                <w:rFonts w:ascii="仿宋_GB2312" w:eastAsia="仿宋_GB2312"/>
                <w:sz w:val="32"/>
                <w:szCs w:val="32"/>
              </w:rPr>
            </w:pPr>
            <w:r>
              <w:rPr>
                <w:rFonts w:hint="eastAsia" w:eastAsia="仿宋_GB2312"/>
                <w:b/>
                <w:bCs/>
                <w:spacing w:val="-4"/>
                <w:sz w:val="24"/>
                <w:szCs w:val="24"/>
              </w:rPr>
              <w:t>19、农用地土壤修复治理。</w:t>
            </w:r>
            <w:r>
              <w:rPr>
                <w:rFonts w:hint="eastAsia" w:eastAsia="仿宋_GB2312"/>
                <w:spacing w:val="-4"/>
                <w:sz w:val="24"/>
                <w:szCs w:val="24"/>
              </w:rPr>
              <w:t>在竹园镇通光村、东林镇平安村、高佳村等3个村修复试点面积1200亩，推广镉低积累水稻品种宜香优2115，推广稻田水分管理调控，施用腐殖酸钾和偏硅酸钠，并开展验证试验。</w:t>
            </w:r>
          </w:p>
          <w:p w14:paraId="11F7E4F0">
            <w:pPr>
              <w:numPr>
                <w:ilvl w:val="255"/>
                <w:numId w:val="0"/>
              </w:numPr>
              <w:ind w:firstLine="466" w:firstLineChars="200"/>
              <w:rPr>
                <w:rFonts w:ascii="Calibri" w:hAnsi="Calibri" w:eastAsia="宋体"/>
                <w:szCs w:val="28"/>
              </w:rPr>
            </w:pPr>
            <w:r>
              <w:rPr>
                <w:rFonts w:hint="eastAsia" w:eastAsia="仿宋_GB2312"/>
                <w:b/>
                <w:spacing w:val="-4"/>
                <w:sz w:val="24"/>
                <w:szCs w:val="24"/>
              </w:rPr>
              <w:t>20、建筑装饰装修垃圾处置填埋场建设。</w:t>
            </w:r>
            <w:r>
              <w:rPr>
                <w:rFonts w:hint="eastAsia" w:eastAsia="仿宋_GB2312"/>
                <w:spacing w:val="-4"/>
                <w:sz w:val="24"/>
                <w:szCs w:val="24"/>
              </w:rPr>
              <w:t>建设1座日处理能力100-200吨的修建建筑装饰装修垃圾处置填埋场，通过拆解、破碎、分类、再生产等措施，变废为宝，实现废弃物再利用。</w:t>
            </w:r>
          </w:p>
        </w:tc>
      </w:tr>
    </w:tbl>
    <w:p w14:paraId="20720734">
      <w:pPr>
        <w:pStyle w:val="8"/>
      </w:pPr>
    </w:p>
    <w:p w14:paraId="4C98C1AA">
      <w:pPr>
        <w:pStyle w:val="5"/>
        <w:spacing w:before="0" w:after="0" w:line="240" w:lineRule="auto"/>
        <w:ind w:firstLine="602" w:firstLineChars="200"/>
        <w:rPr>
          <w:rFonts w:ascii="仿宋" w:hAnsi="仿宋" w:eastAsia="仿宋"/>
        </w:rPr>
      </w:pPr>
      <w:bookmarkStart w:id="43" w:name="_Toc115020794"/>
      <w:r>
        <w:rPr>
          <w:rFonts w:hint="eastAsia" w:ascii="仿宋" w:hAnsi="仿宋" w:eastAsia="仿宋"/>
        </w:rPr>
        <w:t>（五）不断提升农村人居环境</w:t>
      </w:r>
      <w:bookmarkEnd w:id="43"/>
    </w:p>
    <w:p w14:paraId="6A58F36B">
      <w:pPr>
        <w:ind w:firstLine="570"/>
        <w:rPr>
          <w:rFonts w:ascii="宋体" w:hAnsi="宋体" w:eastAsia="宋体" w:cs="宋体"/>
          <w:b/>
          <w:kern w:val="0"/>
          <w:szCs w:val="28"/>
        </w:rPr>
      </w:pPr>
      <w:r>
        <w:rPr>
          <w:rFonts w:hint="eastAsia" w:ascii="宋体" w:hAnsi="宋体" w:eastAsia="宋体" w:cs="宋体"/>
          <w:b/>
          <w:kern w:val="0"/>
          <w:szCs w:val="28"/>
        </w:rPr>
        <w:t>1、大力推进农村环保基础设施建设</w:t>
      </w:r>
    </w:p>
    <w:p w14:paraId="04A5C8FC">
      <w:pPr>
        <w:ind w:firstLine="562" w:firstLineChars="200"/>
        <w:rPr>
          <w:rFonts w:ascii="Calibri" w:hAnsi="Calibri" w:eastAsia="宋体"/>
          <w:szCs w:val="28"/>
        </w:rPr>
      </w:pPr>
      <w:r>
        <w:rPr>
          <w:rFonts w:ascii="宋体" w:hAnsi="宋体" w:eastAsia="宋体" w:cs="宋体"/>
          <w:b/>
          <w:kern w:val="0"/>
          <w:szCs w:val="28"/>
        </w:rPr>
        <w:t>加强</w:t>
      </w:r>
      <w:r>
        <w:rPr>
          <w:rFonts w:hint="eastAsia" w:ascii="宋体" w:hAnsi="宋体" w:eastAsia="宋体" w:cs="宋体"/>
          <w:b/>
          <w:kern w:val="0"/>
          <w:szCs w:val="28"/>
        </w:rPr>
        <w:t>生活污水处理及配套设施建设</w:t>
      </w:r>
      <w:r>
        <w:rPr>
          <w:rFonts w:ascii="宋体" w:hAnsi="宋体" w:eastAsia="宋体" w:cs="宋体"/>
          <w:b/>
          <w:kern w:val="0"/>
          <w:szCs w:val="28"/>
        </w:rPr>
        <w:t>。</w:t>
      </w:r>
      <w:r>
        <w:rPr>
          <w:rFonts w:hint="eastAsia" w:ascii="Calibri" w:hAnsi="Calibri" w:eastAsia="宋体"/>
          <w:szCs w:val="28"/>
        </w:rPr>
        <w:t>持续推进全县农村生活污水治理设施建设，采用“以镇带村”管网覆盖、大集中治理、小集中治理、散户治理四种模式，推广使用微动力、五格化污水处理设施，加强农村环境监测能力建设。以茫溪河、磨池河、溪河流流域沿线场镇为重点，大力推进“厕污共治”，</w:t>
      </w:r>
      <w:r>
        <w:rPr>
          <w:rFonts w:ascii="Calibri" w:hAnsi="Calibri" w:eastAsia="宋体"/>
          <w:szCs w:val="28"/>
        </w:rPr>
        <w:t>加强农村厕所革命与生活污水治理有机衔接，因地制宜推进厕所粪污分散处理、集中处理与纳入污水管网统一处理，鼓励联户、联村、村镇一体处理</w:t>
      </w:r>
      <w:r>
        <w:rPr>
          <w:rFonts w:hint="eastAsia" w:ascii="Calibri" w:hAnsi="Calibri" w:eastAsia="宋体"/>
          <w:szCs w:val="28"/>
        </w:rPr>
        <w:t>，扎实开展流域沿线范围内及水库周边农村居民聚集点和散户生活污水治理。开展已建农村生活污水处理设施排查整改专项行动，推动设施正常运转。</w:t>
      </w:r>
    </w:p>
    <w:p w14:paraId="7924AAFC">
      <w:pPr>
        <w:ind w:firstLine="562" w:firstLineChars="200"/>
        <w:rPr>
          <w:rFonts w:ascii="Calibri" w:hAnsi="Calibri" w:eastAsia="宋体"/>
          <w:szCs w:val="28"/>
        </w:rPr>
      </w:pPr>
      <w:r>
        <w:rPr>
          <w:rFonts w:hint="eastAsia" w:ascii="Calibri" w:hAnsi="Calibri" w:eastAsia="宋体"/>
          <w:b/>
          <w:szCs w:val="28"/>
        </w:rPr>
        <w:t>健全完善农村生活垃圾收运处置体系。</w:t>
      </w:r>
      <w:r>
        <w:rPr>
          <w:rFonts w:hint="eastAsia" w:ascii="Calibri" w:hAnsi="Calibri" w:eastAsia="宋体"/>
          <w:szCs w:val="28"/>
        </w:rPr>
        <w:t>引导农村地区以源头减量和资源化利用为主要模式开展农村生活垃圾治理，推广易腐垃圾就地就近堆肥。进一步完善垃圾收转运体系建设，购置生活垃圾收转运设施，填补偏远乡镇和农村生活垃圾收集死角，提高生活垃圾收转运能力。加强生活垃圾处理水平，推进分类减量化、资源化、无害化，交通偏远地区可采用就近分散处理等符合实际、方式多样的处理模式。大力推进非正规垃圾堆放点整治，重点整治垃圾山、垃圾围村、垃圾围坝。</w:t>
      </w:r>
    </w:p>
    <w:p w14:paraId="57CA25A4">
      <w:pPr>
        <w:ind w:firstLine="562" w:firstLineChars="200"/>
        <w:rPr>
          <w:rFonts w:ascii="Calibri" w:hAnsi="Calibri" w:eastAsia="宋体"/>
          <w:szCs w:val="28"/>
        </w:rPr>
      </w:pPr>
      <w:r>
        <w:rPr>
          <w:rFonts w:hint="eastAsia" w:ascii="Calibri" w:hAnsi="Calibri" w:eastAsia="宋体"/>
          <w:b/>
          <w:szCs w:val="28"/>
        </w:rPr>
        <w:t>加快推进农村卫生厕所改造。</w:t>
      </w:r>
      <w:r>
        <w:rPr>
          <w:rFonts w:hint="eastAsia" w:ascii="Calibri" w:hAnsi="Calibri" w:eastAsia="宋体"/>
          <w:szCs w:val="28"/>
        </w:rPr>
        <w:t>切实把“厕所革命”纳入重要议事日程，制定实施方案，结合乡镇实际，以整村推进示范为主，以点带面，示范带动，保质保量完成年度建设任务。实施“厕所革命”的同时，要注意结合各地实际普及不同类型的卫生厕所，推进厕所粪污无害化处理和资源化利用。</w:t>
      </w:r>
    </w:p>
    <w:p w14:paraId="0533E73C">
      <w:pPr>
        <w:ind w:firstLine="570"/>
        <w:rPr>
          <w:rFonts w:ascii="宋体" w:hAnsi="宋体" w:eastAsia="宋体" w:cs="宋体"/>
          <w:b/>
          <w:kern w:val="0"/>
          <w:szCs w:val="28"/>
        </w:rPr>
      </w:pPr>
      <w:r>
        <w:rPr>
          <w:rFonts w:hint="eastAsia" w:ascii="宋体" w:hAnsi="宋体" w:eastAsia="宋体" w:cs="宋体"/>
          <w:b/>
          <w:kern w:val="0"/>
          <w:szCs w:val="28"/>
        </w:rPr>
        <w:t>2、大力开展农村面源污染防治</w:t>
      </w:r>
    </w:p>
    <w:p w14:paraId="3170D826">
      <w:pPr>
        <w:pStyle w:val="9"/>
        <w:spacing w:after="0"/>
        <w:ind w:firstLine="562" w:firstLineChars="200"/>
        <w:jc w:val="left"/>
        <w:rPr>
          <w:rFonts w:ascii="Calibri" w:hAnsi="Calibri" w:eastAsia="宋体"/>
          <w:szCs w:val="28"/>
        </w:rPr>
      </w:pPr>
      <w:r>
        <w:rPr>
          <w:rFonts w:hint="eastAsia" w:ascii="Calibri" w:hAnsi="Calibri" w:eastAsia="宋体"/>
          <w:b/>
          <w:bCs/>
          <w:szCs w:val="28"/>
        </w:rPr>
        <w:t>强化养殖业污染治理。</w:t>
      </w:r>
      <w:r>
        <w:rPr>
          <w:rFonts w:hint="eastAsia" w:ascii="Calibri" w:hAnsi="Calibri" w:eastAsia="宋体"/>
          <w:szCs w:val="28"/>
        </w:rPr>
        <w:t>持续推进绿色种养循环农业试点项目建设，进一步加强粪污收集、粪肥还田和粪肥使用实验示范工作，提高畜禽粪污综合利用率。加强水产养殖污染防治，积极发展绿色健康养殖，开展以渔净水、以渔控草、以渔抑藻，修复水域生态环境。严格实施水产养殖尾水管控，从“管、治、退”三个方面着手完善水产养殖尾水综合治理，建立长效运行机制。以茫溪河、磨池河、泥溪流域为重点，大力推进水产养殖尾水治理，促进养殖尾水资源化利用或达标排放。以茫溪河、磨池河、泥溪河、麻柳湾沟、赛功河河道沿岸200米范围内从事传统高密度养殖水产养殖池塘为重点，2022年底前完成水域生态脆弱河段内水产养殖户的清退工作，促进茫溪河流域水域生态环境持续改善。</w:t>
      </w:r>
    </w:p>
    <w:p w14:paraId="4D9F7C51">
      <w:pPr>
        <w:ind w:firstLine="640"/>
        <w:rPr>
          <w:rFonts w:ascii="Calibri" w:hAnsi="Calibri" w:eastAsia="宋体"/>
          <w:szCs w:val="28"/>
        </w:rPr>
      </w:pPr>
      <w:r>
        <w:rPr>
          <w:rFonts w:hint="eastAsia" w:ascii="Calibri" w:hAnsi="Calibri" w:eastAsia="宋体"/>
          <w:b/>
          <w:bCs/>
          <w:szCs w:val="28"/>
        </w:rPr>
        <w:t>加强种植业面源污染防治水平。</w:t>
      </w:r>
      <w:r>
        <w:rPr>
          <w:rFonts w:hint="eastAsia" w:ascii="Calibri" w:hAnsi="Calibri" w:eastAsia="宋体"/>
          <w:szCs w:val="28"/>
        </w:rPr>
        <w:t>深入开展化肥农药减量增效行动，加快推进施肥方式转变，推行测土配方施肥、机械施肥、水肥一体化、适期施肥等高效施肥技术。加快推广应用生物农药、高效低毒低残留农药，依法禁限用高毒农药。推广保护性耕作、水肥一体化、喷灌、滴灌等技术，大力发展节水农业，推动节水灌溉项目建设和节水改造，降低春耕播种季节的农业面源污染排放。鼓励和支持生产、使用可降解农膜，持续深入推进废旧农膜回收处理利用。强化秸秆综合利用，健全秸秆收储运体系，完善台账管理制度。提升农药包装废弃物回收水平，建立完善回收台账，统筹推进回收处理等设施建设。</w:t>
      </w:r>
    </w:p>
    <w:p w14:paraId="64D67E09">
      <w:pPr>
        <w:ind w:firstLine="570"/>
        <w:rPr>
          <w:rFonts w:ascii="宋体" w:hAnsi="宋体" w:eastAsia="宋体" w:cs="宋体"/>
          <w:b/>
          <w:kern w:val="0"/>
          <w:szCs w:val="28"/>
        </w:rPr>
      </w:pPr>
      <w:bookmarkStart w:id="44" w:name="_Toc2679"/>
      <w:r>
        <w:rPr>
          <w:rFonts w:hint="eastAsia" w:ascii="宋体" w:hAnsi="宋体" w:eastAsia="宋体" w:cs="宋体"/>
          <w:b/>
          <w:kern w:val="0"/>
          <w:szCs w:val="28"/>
        </w:rPr>
        <w:t>3、推进绿色宜居城乡建设</w:t>
      </w:r>
      <w:bookmarkEnd w:id="44"/>
    </w:p>
    <w:p w14:paraId="5DF7C2FD">
      <w:pPr>
        <w:pStyle w:val="2"/>
        <w:adjustRightInd w:val="0"/>
        <w:snapToGrid w:val="0"/>
        <w:spacing w:after="0" w:line="560" w:lineRule="exact"/>
        <w:ind w:left="0" w:leftChars="0" w:firstLine="562"/>
        <w:rPr>
          <w:rFonts w:ascii="Calibri" w:hAnsi="Calibri" w:eastAsia="宋体"/>
          <w:szCs w:val="28"/>
        </w:rPr>
      </w:pPr>
      <w:r>
        <w:rPr>
          <w:rFonts w:ascii="Calibri" w:hAnsi="Calibri" w:eastAsia="宋体"/>
          <w:b/>
          <w:szCs w:val="28"/>
        </w:rPr>
        <w:t>推进绿色</w:t>
      </w:r>
      <w:r>
        <w:rPr>
          <w:rFonts w:hint="eastAsia" w:ascii="Calibri" w:hAnsi="Calibri" w:eastAsia="宋体"/>
          <w:b/>
          <w:szCs w:val="28"/>
        </w:rPr>
        <w:t>城镇</w:t>
      </w:r>
      <w:r>
        <w:rPr>
          <w:rFonts w:ascii="Calibri" w:hAnsi="Calibri" w:eastAsia="宋体"/>
          <w:b/>
          <w:szCs w:val="28"/>
        </w:rPr>
        <w:t>发展。</w:t>
      </w:r>
      <w:r>
        <w:rPr>
          <w:rFonts w:ascii="Calibri" w:hAnsi="Calibri" w:eastAsia="宋体"/>
          <w:szCs w:val="28"/>
        </w:rPr>
        <w:t>加强对城市</w:t>
      </w:r>
      <w:r>
        <w:rPr>
          <w:rFonts w:hint="eastAsia" w:ascii="Calibri" w:hAnsi="Calibri" w:eastAsia="宋体"/>
          <w:szCs w:val="28"/>
        </w:rPr>
        <w:t>现有</w:t>
      </w:r>
      <w:r>
        <w:rPr>
          <w:rFonts w:ascii="Calibri" w:hAnsi="Calibri" w:eastAsia="宋体"/>
          <w:szCs w:val="28"/>
        </w:rPr>
        <w:t>山体、水系等自然生态要素的保护，构建大尺度生态廊道和网络化绿道脉络。</w:t>
      </w:r>
      <w:r>
        <w:rPr>
          <w:rFonts w:hint="eastAsia" w:ascii="Calibri" w:hAnsi="Calibri" w:eastAsia="宋体"/>
          <w:szCs w:val="28"/>
        </w:rPr>
        <w:t>推进数字化城管与网格化、智能化融合升级，提升城市管理科学化、精细化水平。</w:t>
      </w:r>
      <w:r>
        <w:rPr>
          <w:rFonts w:ascii="Calibri" w:hAnsi="Calibri" w:eastAsia="宋体"/>
          <w:szCs w:val="28"/>
        </w:rPr>
        <w:t>开展既有建筑绿色改造，积极推广绿色建筑物</w:t>
      </w:r>
      <w:r>
        <w:rPr>
          <w:rFonts w:hint="eastAsia" w:ascii="Calibri" w:hAnsi="Calibri" w:eastAsia="宋体"/>
          <w:szCs w:val="28"/>
        </w:rPr>
        <w:t>。按照绿化、彩化、美化、香化、亮化要求，大力开展城镇绿化美化行动。以县城为中心、以建制镇为重点，结合移民新村建设全面推动城镇绿化美化工程，开展森林小镇、园林城镇、园林村寨、园林单位等绿化模范创建活动，实施动态评估机制评选。大力推进农村道路、河渠、房前屋后、闲置土地绿化，加快形成道路与河岸景观林、房前屋后经果林、村庄周围防护林的绿化格局，着力打造体现文化特色、彰显花果景观、发展集中连片、融合一三产业的绿色美丽新农村。</w:t>
      </w:r>
    </w:p>
    <w:p w14:paraId="3DB695FA">
      <w:pPr>
        <w:pStyle w:val="2"/>
        <w:adjustRightInd w:val="0"/>
        <w:snapToGrid w:val="0"/>
        <w:spacing w:after="0" w:line="560" w:lineRule="exact"/>
        <w:ind w:left="0" w:leftChars="0" w:firstLine="562"/>
        <w:rPr>
          <w:rFonts w:ascii="Calibri" w:hAnsi="Calibri" w:eastAsia="宋体"/>
          <w:szCs w:val="28"/>
        </w:rPr>
      </w:pPr>
      <w:r>
        <w:rPr>
          <w:rFonts w:hint="eastAsia" w:ascii="Calibri" w:hAnsi="Calibri" w:eastAsia="宋体"/>
          <w:b/>
          <w:szCs w:val="28"/>
        </w:rPr>
        <w:t>建设美丽宜居乡村。</w:t>
      </w:r>
      <w:r>
        <w:rPr>
          <w:rFonts w:hint="eastAsia" w:ascii="Calibri" w:hAnsi="Calibri" w:eastAsia="宋体"/>
          <w:szCs w:val="28"/>
        </w:rPr>
        <w:t>科学编制集镇和村庄规划，保护文化古迹和古树名木，守护传统村落，传承非遗文化，留住美丽乡愁。实施农村人居环境提升行动，深入开展“四大革命”和“五清行动”，全面推进农房管控和乡村风貌提升，农村卫生厕所普及率达到100％，生活污水有效处理行政村达95％以上，建成“一村一景”“一村一韵”美丽休闲乡村20个，打造一批省级、市级“清洁村庄”。全力推进省级乡村振兴先进示范创建，争创省级乡村振兴先进镇5个、示范村15个。</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4B14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31E18794">
            <w:pPr>
              <w:jc w:val="center"/>
              <w:rPr>
                <w:rFonts w:ascii="Calibri" w:hAnsi="Calibri" w:eastAsia="黑体"/>
                <w:szCs w:val="28"/>
              </w:rPr>
            </w:pPr>
            <w:r>
              <w:rPr>
                <w:rFonts w:eastAsia="黑体"/>
                <w:b/>
                <w:bCs/>
                <w:szCs w:val="21"/>
              </w:rPr>
              <w:t>专栏</w:t>
            </w:r>
            <w:r>
              <w:rPr>
                <w:rFonts w:hint="eastAsia" w:eastAsia="黑体"/>
                <w:b/>
                <w:bCs/>
                <w:szCs w:val="21"/>
              </w:rPr>
              <w:t>4</w:t>
            </w:r>
            <w:r>
              <w:rPr>
                <w:rFonts w:eastAsia="黑体"/>
                <w:b/>
                <w:bCs/>
                <w:szCs w:val="21"/>
              </w:rPr>
              <w:t xml:space="preserve">  </w:t>
            </w:r>
            <w:r>
              <w:rPr>
                <w:rFonts w:hint="eastAsia" w:eastAsia="黑体"/>
                <w:b/>
                <w:bCs/>
                <w:szCs w:val="21"/>
              </w:rPr>
              <w:t>农村人居环境整治项目</w:t>
            </w:r>
          </w:p>
        </w:tc>
      </w:tr>
      <w:tr w14:paraId="61102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5012D5DF">
            <w:pPr>
              <w:numPr>
                <w:ilvl w:val="255"/>
                <w:numId w:val="0"/>
              </w:numPr>
              <w:ind w:firstLine="466" w:firstLineChars="200"/>
              <w:rPr>
                <w:rFonts w:eastAsia="仿宋_GB2312"/>
                <w:spacing w:val="-4"/>
                <w:sz w:val="24"/>
                <w:szCs w:val="24"/>
              </w:rPr>
            </w:pPr>
            <w:r>
              <w:rPr>
                <w:rFonts w:hint="eastAsia" w:eastAsia="仿宋_GB2312"/>
                <w:b/>
                <w:spacing w:val="-4"/>
                <w:sz w:val="24"/>
                <w:szCs w:val="24"/>
              </w:rPr>
              <w:t>1、 农村生活污水治理。“千村示范”工程项目：</w:t>
            </w:r>
            <w:r>
              <w:rPr>
                <w:rFonts w:hint="eastAsia" w:eastAsia="仿宋_GB2312"/>
                <w:spacing w:val="-4"/>
                <w:sz w:val="24"/>
                <w:szCs w:val="24"/>
              </w:rPr>
              <w:t>在茫溪河干流两岸500米范围内开展农村聚居点污水治理工程，涉及10个乡镇80处农村居民聚居点。</w:t>
            </w:r>
            <w:r>
              <w:rPr>
                <w:rFonts w:hint="eastAsia" w:eastAsia="仿宋_GB2312"/>
                <w:b/>
                <w:spacing w:val="-4"/>
                <w:sz w:val="24"/>
                <w:szCs w:val="24"/>
              </w:rPr>
              <w:t>聚居点 生活污水治理：</w:t>
            </w:r>
            <w:r>
              <w:rPr>
                <w:rFonts w:hint="eastAsia" w:eastAsia="仿宋_GB2312"/>
                <w:spacing w:val="-4"/>
                <w:sz w:val="24"/>
                <w:szCs w:val="24"/>
              </w:rPr>
              <w:t>对周坡村、界牌村、高滩村、五谷村、赛功村、大水湾村、门坎村、烈士村、石牛村、黄钵井村、同心村等 11 个行政村共 22个聚居点进行生活污水处理，涉及 812户农户。其中：拟新建污水处理设施的有 20 个聚居点，拟接入城镇污水管网的有 2 个聚居点，共计需建设污水主管网 7.534km，入户管网 6.9km，净化槽 20 座，人工湿地 20 座。</w:t>
            </w:r>
            <w:r>
              <w:rPr>
                <w:rFonts w:hint="eastAsia" w:eastAsia="仿宋_GB2312"/>
                <w:b/>
                <w:spacing w:val="-4"/>
                <w:sz w:val="24"/>
                <w:szCs w:val="24"/>
              </w:rPr>
              <w:t>散户生活污水治理：</w:t>
            </w:r>
            <w:r>
              <w:rPr>
                <w:rFonts w:hint="eastAsia" w:eastAsia="仿宋_GB2312"/>
                <w:spacing w:val="-4"/>
                <w:sz w:val="24"/>
                <w:szCs w:val="24"/>
              </w:rPr>
              <w:t>完成高滩村、五谷村、新兴村、飞跃村、五龙井村、云峰村、周坡村、黄桷村、大河村、赛功村、平店村、向阳村、大水湾村、门坎村、白合村、烈士村、石牛村、大坪村、黄钵井村、里仁村、南河村、五龙场村、石堰村等 23 个行政村共11652 户散户生活污水治理。</w:t>
            </w:r>
          </w:p>
          <w:p w14:paraId="6022FB0D">
            <w:pPr>
              <w:ind w:firstLine="582" w:firstLineChars="250"/>
              <w:rPr>
                <w:rFonts w:eastAsia="仿宋_GB2312"/>
                <w:spacing w:val="-4"/>
                <w:sz w:val="24"/>
                <w:szCs w:val="24"/>
              </w:rPr>
            </w:pPr>
            <w:r>
              <w:rPr>
                <w:rFonts w:hint="eastAsia" w:eastAsia="仿宋_GB2312"/>
                <w:b/>
                <w:spacing w:val="-4"/>
                <w:sz w:val="24"/>
                <w:szCs w:val="24"/>
              </w:rPr>
              <w:t>2、重点流域水产养殖尾水治理项目。</w:t>
            </w:r>
            <w:r>
              <w:rPr>
                <w:rFonts w:hint="eastAsia" w:eastAsia="仿宋_GB2312"/>
                <w:spacing w:val="-4"/>
                <w:sz w:val="24"/>
                <w:szCs w:val="24"/>
              </w:rPr>
              <w:t>茫溪河流域、泥溪河流域、磨池河流域采用池塘工程化内循环、高位流水池、陆基集装箱、鱼菜共生、“生态沟—沉淀池—曝气池—生物氧化池—人工湿地－稳定塘—（絮凝沉淀过滤池）”组合工艺等模式，开展水产养殖尾水治理，预计治理面积不低于</w:t>
            </w:r>
            <w:r>
              <w:rPr>
                <w:rFonts w:eastAsia="仿宋_GB2312"/>
                <w:spacing w:val="-4"/>
                <w:sz w:val="24"/>
                <w:szCs w:val="24"/>
              </w:rPr>
              <w:t>2万亩。</w:t>
            </w:r>
          </w:p>
          <w:p w14:paraId="1F132A99">
            <w:pPr>
              <w:ind w:firstLine="582" w:firstLineChars="250"/>
              <w:rPr>
                <w:rFonts w:ascii="Calibri" w:hAnsi="Calibri" w:eastAsia="宋体"/>
                <w:szCs w:val="28"/>
              </w:rPr>
            </w:pPr>
            <w:r>
              <w:rPr>
                <w:rFonts w:hint="eastAsia" w:eastAsia="仿宋_GB2312"/>
                <w:b/>
                <w:spacing w:val="-4"/>
                <w:sz w:val="24"/>
                <w:szCs w:val="24"/>
              </w:rPr>
              <w:t>3、水产养殖尾水净化工程。</w:t>
            </w:r>
            <w:r>
              <w:rPr>
                <w:rFonts w:hint="eastAsia" w:eastAsia="仿宋_GB2312"/>
                <w:spacing w:val="-4"/>
                <w:sz w:val="24"/>
                <w:szCs w:val="24"/>
              </w:rPr>
              <w:t>水库水产养殖采取人放天养；其他区域养殖废水处理后循环使用：（1）简易处理后循环使用不外排（“鱼菜共生”养殖技术；经沉淀处理，并投加微生态制剂）（2）经尾水处理工艺处理后循环使用不外排（尾水处理沟渠+沉淀池+曝气池+微生物净化池+水生植物净化池+洁水）。</w:t>
            </w:r>
          </w:p>
        </w:tc>
      </w:tr>
    </w:tbl>
    <w:p w14:paraId="52545A17">
      <w:pPr>
        <w:pStyle w:val="5"/>
        <w:spacing w:before="0" w:after="0" w:line="240" w:lineRule="auto"/>
        <w:ind w:firstLine="602" w:firstLineChars="200"/>
        <w:rPr>
          <w:rFonts w:ascii="仿宋" w:hAnsi="仿宋" w:eastAsia="仿宋"/>
        </w:rPr>
      </w:pPr>
      <w:bookmarkStart w:id="45" w:name="_Toc1097000650"/>
      <w:bookmarkStart w:id="46" w:name="_Toc115020795"/>
      <w:r>
        <w:rPr>
          <w:rFonts w:ascii="仿宋" w:hAnsi="仿宋" w:eastAsia="仿宋"/>
        </w:rPr>
        <w:t>（</w:t>
      </w:r>
      <w:r>
        <w:rPr>
          <w:rFonts w:hint="eastAsia" w:ascii="仿宋" w:hAnsi="仿宋" w:eastAsia="仿宋"/>
        </w:rPr>
        <w:t>六</w:t>
      </w:r>
      <w:r>
        <w:rPr>
          <w:rFonts w:ascii="仿宋" w:hAnsi="仿宋" w:eastAsia="仿宋"/>
        </w:rPr>
        <w:t>）</w:t>
      </w:r>
      <w:bookmarkEnd w:id="45"/>
      <w:r>
        <w:rPr>
          <w:rFonts w:hint="eastAsia" w:ascii="仿宋" w:hAnsi="仿宋" w:eastAsia="仿宋"/>
        </w:rPr>
        <w:t>开展探索“两山”理论新模式</w:t>
      </w:r>
      <w:bookmarkEnd w:id="46"/>
    </w:p>
    <w:p w14:paraId="22347299">
      <w:pPr>
        <w:ind w:firstLine="562" w:firstLineChars="200"/>
        <w:rPr>
          <w:rFonts w:ascii="宋体" w:hAnsi="宋体" w:eastAsia="宋体" w:cs="宋体"/>
          <w:b/>
          <w:kern w:val="0"/>
          <w:szCs w:val="28"/>
        </w:rPr>
      </w:pPr>
      <w:r>
        <w:rPr>
          <w:rFonts w:hint="eastAsia" w:ascii="宋体" w:hAnsi="宋体" w:eastAsia="宋体" w:cs="宋体"/>
          <w:b/>
          <w:kern w:val="0"/>
          <w:szCs w:val="28"/>
        </w:rPr>
        <w:t>1、健全生态补偿机制</w:t>
      </w:r>
    </w:p>
    <w:p w14:paraId="5F7DB6A8">
      <w:pPr>
        <w:ind w:firstLine="560" w:firstLineChars="200"/>
        <w:rPr>
          <w:rFonts w:ascii="宋体" w:hAnsi="宋体" w:eastAsia="宋体" w:cs="宋体"/>
          <w:kern w:val="0"/>
          <w:szCs w:val="28"/>
        </w:rPr>
      </w:pPr>
      <w:r>
        <w:rPr>
          <w:rFonts w:hint="eastAsia" w:ascii="宋体" w:hAnsi="宋体" w:eastAsia="宋体" w:cs="宋体"/>
          <w:kern w:val="0"/>
          <w:szCs w:val="28"/>
        </w:rPr>
        <w:t>探索建立环境污染强制责任保险制度和森林生态效益补偿机制。因地制宜把资金补偿、实物服务补偿、干部人才支持、精准帮扶、产业扶持等补偿方式结合起来，建立多元化、综合化补偿机制。以生态产品价值为依据，合理确定生态补偿标准，落实提高天然林管护补助标准政策。推行第三方环境治理模式，创建生态环境治理基金和投资公司，通过企业化运作，促进资源开发与环境保护协调。统筹各类补偿资金，探索综合性补偿办法。加强生态保护补偿效益评估，建立生态保护成效与资金分配挂钩的激励约束机制。</w:t>
      </w:r>
    </w:p>
    <w:p w14:paraId="61516AEE">
      <w:pPr>
        <w:pStyle w:val="51"/>
        <w:spacing w:line="360" w:lineRule="auto"/>
        <w:ind w:firstLine="562"/>
        <w:rPr>
          <w:rFonts w:ascii="宋体" w:hAnsi="宋体" w:eastAsia="宋体"/>
          <w:b/>
          <w:kern w:val="0"/>
          <w:sz w:val="28"/>
          <w:szCs w:val="28"/>
        </w:rPr>
      </w:pPr>
      <w:r>
        <w:rPr>
          <w:rFonts w:hint="eastAsia" w:ascii="宋体" w:hAnsi="宋体" w:eastAsia="宋体"/>
          <w:b/>
          <w:kern w:val="0"/>
          <w:sz w:val="28"/>
          <w:szCs w:val="28"/>
        </w:rPr>
        <w:t>2、探索建立生态产品价值实现机制</w:t>
      </w:r>
    </w:p>
    <w:p w14:paraId="0E0007C1">
      <w:pPr>
        <w:pStyle w:val="51"/>
        <w:spacing w:line="360" w:lineRule="auto"/>
        <w:ind w:firstLine="560"/>
        <w:rPr>
          <w:rFonts w:ascii="宋体" w:hAnsi="宋体" w:eastAsia="宋体"/>
          <w:kern w:val="0"/>
          <w:sz w:val="28"/>
          <w:szCs w:val="28"/>
        </w:rPr>
      </w:pPr>
      <w:r>
        <w:rPr>
          <w:rFonts w:hint="eastAsia" w:ascii="宋体" w:hAnsi="宋体" w:eastAsia="宋体"/>
          <w:kern w:val="0"/>
          <w:sz w:val="28"/>
          <w:szCs w:val="28"/>
        </w:rPr>
        <w:t>积极探索搭建生态价值核算机制架构，统一计量自然生态系统提供的各类服务和贡献。将生态修复、产业发展与生态产品价值实现“一体规划、一体实施、一体见效”，优化调整修复区域国土空间规划，明晰修复区域产权。建设生态产品价值实现协同创新平台，探索建立生态产品市场化交易平台，极大实现生态产品增值。健全绿色金融体系、机制和绿色金融工具，积极构建“森林生态银行”自然资源管理、开发和运营的平台，对森林资源进行集中收储和整合优化，并引入社会资本和专业运营商具体管理。发展基于碳排放权、排污权、节能量等各类环境权益的融资工具，鼓励社会资本参与生态建设和保护。进一步挖掘“绿色”优势，推动绿色生态、红色资源与富民产业相结合，发展红色教育培训、生态旅游等“绿色+红色”产业，吸引游客“进入式消费”，将生态优势转化为经济优势。作为乐山市践行“绿水青山就是金山银山”理念的样板，推动经济生态化、生态经济化。</w:t>
      </w:r>
    </w:p>
    <w:p w14:paraId="698B1B78">
      <w:pPr>
        <w:pStyle w:val="5"/>
        <w:numPr>
          <w:ilvl w:val="0"/>
          <w:numId w:val="3"/>
        </w:numPr>
        <w:spacing w:before="0" w:after="0" w:line="240" w:lineRule="auto"/>
        <w:rPr>
          <w:rFonts w:ascii="仿宋" w:hAnsi="仿宋" w:eastAsia="仿宋"/>
        </w:rPr>
      </w:pPr>
      <w:bookmarkStart w:id="47" w:name="_Toc115020796"/>
      <w:bookmarkStart w:id="48" w:name="_Toc86050206"/>
      <w:r>
        <w:rPr>
          <w:rFonts w:hint="eastAsia" w:ascii="仿宋" w:hAnsi="仿宋" w:eastAsia="仿宋"/>
        </w:rPr>
        <w:t>健全风险防控体系</w:t>
      </w:r>
      <w:bookmarkEnd w:id="47"/>
      <w:bookmarkEnd w:id="48"/>
    </w:p>
    <w:p w14:paraId="400778F8">
      <w:pPr>
        <w:ind w:firstLine="570"/>
        <w:rPr>
          <w:rFonts w:ascii="宋体" w:hAnsi="宋体" w:eastAsia="宋体" w:cs="宋体"/>
          <w:kern w:val="0"/>
          <w:szCs w:val="28"/>
          <w:lang w:val="zh-CN"/>
        </w:rPr>
      </w:pPr>
      <w:bookmarkStart w:id="49" w:name="_Toc22659"/>
      <w:r>
        <w:rPr>
          <w:rFonts w:hint="eastAsia" w:ascii="宋体" w:hAnsi="宋体" w:eastAsia="宋体" w:cs="宋体"/>
          <w:kern w:val="0"/>
          <w:szCs w:val="28"/>
        </w:rPr>
        <w:t>1</w:t>
      </w:r>
      <w:r>
        <w:rPr>
          <w:rFonts w:hint="eastAsia" w:ascii="宋体" w:hAnsi="宋体" w:eastAsia="宋体" w:cs="宋体"/>
          <w:b/>
          <w:bCs/>
          <w:kern w:val="0"/>
          <w:szCs w:val="28"/>
        </w:rPr>
        <w:t>、</w:t>
      </w:r>
      <w:r>
        <w:rPr>
          <w:rFonts w:hint="eastAsia" w:ascii="宋体" w:hAnsi="宋体" w:eastAsia="宋体" w:cs="宋体"/>
          <w:b/>
          <w:bCs/>
          <w:kern w:val="0"/>
          <w:szCs w:val="28"/>
          <w:lang w:val="zh-CN"/>
        </w:rPr>
        <w:t>强化环境风险防范</w:t>
      </w:r>
      <w:bookmarkEnd w:id="49"/>
    </w:p>
    <w:p w14:paraId="650EF698">
      <w:pPr>
        <w:ind w:firstLine="562" w:firstLineChars="200"/>
        <w:rPr>
          <w:rFonts w:ascii="宋体" w:hAnsi="宋体" w:eastAsia="宋体" w:cs="宋体"/>
          <w:kern w:val="0"/>
          <w:szCs w:val="28"/>
          <w:lang w:val="zh-CN"/>
        </w:rPr>
      </w:pPr>
      <w:r>
        <w:rPr>
          <w:rFonts w:hint="eastAsia" w:ascii="宋体" w:hAnsi="宋体" w:eastAsia="宋体" w:cs="宋体"/>
          <w:b/>
          <w:bCs/>
          <w:kern w:val="0"/>
          <w:szCs w:val="28"/>
          <w:lang w:val="zh-CN"/>
        </w:rPr>
        <w:t>强化流域、区域环境风险防控。</w:t>
      </w:r>
      <w:r>
        <w:rPr>
          <w:rFonts w:hint="eastAsia" w:ascii="宋体" w:hAnsi="宋体" w:eastAsia="宋体" w:cs="宋体"/>
          <w:kern w:val="0"/>
          <w:szCs w:val="28"/>
          <w:lang w:val="zh-CN"/>
        </w:rPr>
        <w:t>强化规划统筹编制，将危险化学品生产、使用、储存企业布局纳入区域发展规划、土地利用总体规划和城乡规划中统筹安排。对汛期、枯水期等水污染事件易发期，提前组织相关地方政府或有关部门开展联合会商，分析研判流域生态环境风险，及时发布预警信息。对危险化学品生产和使用企业、尾矿库等分布较为密集的流域，开展流域环境风险及应急措施评估。</w:t>
      </w:r>
    </w:p>
    <w:p w14:paraId="5047C3CD">
      <w:pPr>
        <w:ind w:firstLine="562" w:firstLineChars="200"/>
        <w:rPr>
          <w:rFonts w:ascii="宋体" w:hAnsi="宋体" w:eastAsia="宋体" w:cs="宋体"/>
          <w:kern w:val="0"/>
          <w:szCs w:val="28"/>
          <w:lang w:val="zh-CN"/>
        </w:rPr>
      </w:pPr>
      <w:r>
        <w:rPr>
          <w:rFonts w:hint="eastAsia" w:ascii="宋体" w:hAnsi="宋体" w:eastAsia="宋体" w:cs="宋体"/>
          <w:b/>
          <w:bCs/>
          <w:kern w:val="0"/>
          <w:szCs w:val="28"/>
          <w:lang w:val="zh-CN"/>
        </w:rPr>
        <w:t>加强行业、园区、企业风险防范管控。</w:t>
      </w:r>
      <w:r>
        <w:rPr>
          <w:rFonts w:hint="eastAsia" w:ascii="宋体" w:hAnsi="宋体" w:eastAsia="宋体" w:cs="宋体"/>
          <w:kern w:val="0"/>
          <w:szCs w:val="28"/>
          <w:lang w:val="zh-CN"/>
        </w:rPr>
        <w:t>对涉危涉重、有毒有害物质等重点行业，化工园区、饮用水水源地、尾矿库等重点领域，建立环境安全隐患动态清单，督促企业严格落实环境风险防范主体责任，健全环境安全隐患治理制度，落实环境风险防控措施，防范化解重特大突发环境事件风险。建立重点环境风险企业数据库，对铅酸蓄电池生产及处理相关的重点企业深入开展突发环境事件风险企业信息登记和信息公开，督促企业完善环境安全管理制度，落实环境风险防范的主体责任。以工业园区为重点，开展园区风险防范及应急预案工作。</w:t>
      </w:r>
    </w:p>
    <w:p w14:paraId="7332A788">
      <w:pPr>
        <w:ind w:firstLine="570"/>
        <w:rPr>
          <w:rFonts w:ascii="宋体" w:hAnsi="宋体" w:eastAsia="宋体" w:cs="宋体"/>
          <w:b/>
          <w:bCs/>
          <w:kern w:val="0"/>
          <w:szCs w:val="28"/>
          <w:lang w:val="zh-CN"/>
        </w:rPr>
      </w:pPr>
      <w:r>
        <w:rPr>
          <w:rFonts w:hint="eastAsia" w:ascii="宋体" w:hAnsi="宋体" w:eastAsia="宋体" w:cs="宋体"/>
          <w:b/>
          <w:bCs/>
          <w:kern w:val="0"/>
          <w:szCs w:val="28"/>
        </w:rPr>
        <w:t>2、</w:t>
      </w:r>
      <w:r>
        <w:rPr>
          <w:rFonts w:hint="eastAsia" w:ascii="宋体" w:hAnsi="宋体" w:eastAsia="宋体" w:cs="宋体"/>
          <w:b/>
          <w:bCs/>
          <w:kern w:val="0"/>
          <w:szCs w:val="28"/>
          <w:lang w:val="zh-CN"/>
        </w:rPr>
        <w:t>完善应急管理体系</w:t>
      </w:r>
    </w:p>
    <w:p w14:paraId="2E74089E">
      <w:pPr>
        <w:ind w:firstLine="562" w:firstLineChars="200"/>
        <w:rPr>
          <w:rFonts w:ascii="宋体" w:hAnsi="宋体" w:eastAsia="宋体" w:cs="宋体"/>
          <w:kern w:val="0"/>
          <w:szCs w:val="28"/>
        </w:rPr>
      </w:pPr>
      <w:r>
        <w:rPr>
          <w:rFonts w:hint="eastAsia" w:ascii="宋体" w:hAnsi="宋体" w:eastAsia="宋体" w:cs="宋体"/>
          <w:b/>
          <w:bCs/>
          <w:kern w:val="0"/>
          <w:szCs w:val="28"/>
          <w:lang w:val="zh-CN"/>
        </w:rPr>
        <w:t>提升环境应急管理能力。</w:t>
      </w:r>
      <w:r>
        <w:rPr>
          <w:rFonts w:hint="eastAsia" w:ascii="宋体" w:hAnsi="宋体" w:eastAsia="宋体" w:cs="宋体"/>
          <w:kern w:val="0"/>
          <w:szCs w:val="28"/>
          <w:lang w:val="zh-CN"/>
        </w:rPr>
        <w:t>推进成立环境应急管理专职机构，建立和完善县环境应急管理机制。提升预案质量，按照《四川省突发环境事件应急预案备案行业名录》，按行业分年度完善企业备案，落实环境风险企业“一源一事一案”制度。健全环境风险源、敏感目标、环境应急能力及环境应急预案等数据库，建立健全突发环境事件应急指挥决策支持系统。</w:t>
      </w:r>
    </w:p>
    <w:p w14:paraId="7E8D4567">
      <w:pPr>
        <w:ind w:firstLine="562" w:firstLineChars="200"/>
        <w:rPr>
          <w:rFonts w:ascii="宋体" w:hAnsi="宋体" w:eastAsia="宋体" w:cs="宋体"/>
          <w:kern w:val="0"/>
          <w:szCs w:val="28"/>
          <w:lang w:val="zh-CN"/>
        </w:rPr>
      </w:pPr>
      <w:r>
        <w:rPr>
          <w:rFonts w:hint="eastAsia" w:ascii="宋体" w:hAnsi="宋体" w:eastAsia="宋体" w:cs="宋体"/>
          <w:b/>
          <w:bCs/>
          <w:kern w:val="0"/>
          <w:szCs w:val="28"/>
          <w:lang w:val="zh-CN"/>
        </w:rPr>
        <w:t>提升应急储备能力。</w:t>
      </w:r>
      <w:r>
        <w:rPr>
          <w:rFonts w:hint="eastAsia" w:ascii="宋体" w:hAnsi="宋体" w:eastAsia="宋体" w:cs="宋体"/>
          <w:kern w:val="0"/>
          <w:szCs w:val="28"/>
          <w:lang w:val="zh-CN"/>
        </w:rPr>
        <w:t>加强环境应急物资储备，结合辖区内环境应急资源调查情况，建立应急物资储存、补充、更新、轮换、调运等管理机制。加强环境应急处置技术库建设，及时对本行政区域发生的突发环境事件进行总结提炼，形成本地应急事件处置技术库。</w:t>
      </w:r>
    </w:p>
    <w:p w14:paraId="4E359268">
      <w:pPr>
        <w:ind w:firstLine="562" w:firstLineChars="200"/>
        <w:rPr>
          <w:rFonts w:ascii="宋体" w:hAnsi="宋体" w:eastAsia="宋体" w:cs="宋体"/>
          <w:kern w:val="0"/>
          <w:szCs w:val="28"/>
          <w:lang w:val="zh-CN"/>
        </w:rPr>
      </w:pPr>
      <w:r>
        <w:rPr>
          <w:rFonts w:hint="eastAsia" w:ascii="宋体" w:hAnsi="宋体" w:eastAsia="宋体" w:cs="宋体"/>
          <w:b/>
          <w:bCs/>
          <w:kern w:val="0"/>
          <w:szCs w:val="28"/>
          <w:lang w:val="zh-CN"/>
        </w:rPr>
        <w:t>提升应急联动能力。</w:t>
      </w:r>
      <w:r>
        <w:rPr>
          <w:rFonts w:hint="eastAsia" w:ascii="宋体" w:hAnsi="宋体" w:eastAsia="宋体" w:cs="宋体"/>
          <w:kern w:val="0"/>
          <w:szCs w:val="28"/>
          <w:lang w:val="zh-CN"/>
        </w:rPr>
        <w:t>构建优先控制化学品防控体系，全面排查优先控制化学品种类和数量，建立管理台账，对特别管控危险化学品的建设项目从严审批，加强危险化学品跨区域运输风险联合管控，推进县级生态环境、水利、交通、应急管理等相关职能部门联防联控。</w:t>
      </w:r>
    </w:p>
    <w:p w14:paraId="2CEA2711">
      <w:pPr>
        <w:ind w:firstLine="562" w:firstLineChars="200"/>
        <w:rPr>
          <w:rFonts w:ascii="宋体" w:hAnsi="宋体" w:eastAsia="宋体" w:cs="宋体"/>
          <w:kern w:val="0"/>
          <w:szCs w:val="28"/>
          <w:lang w:val="zh-CN"/>
        </w:rPr>
      </w:pPr>
      <w:r>
        <w:rPr>
          <w:rFonts w:hint="eastAsia" w:ascii="宋体" w:hAnsi="宋体" w:eastAsia="宋体" w:cs="宋体"/>
          <w:b/>
          <w:bCs/>
          <w:kern w:val="0"/>
          <w:szCs w:val="28"/>
          <w:lang w:val="zh-CN"/>
        </w:rPr>
        <w:t>提升应急监测预警能力。</w:t>
      </w:r>
      <w:r>
        <w:rPr>
          <w:rFonts w:hint="eastAsia" w:ascii="宋体" w:hAnsi="宋体" w:eastAsia="宋体" w:cs="宋体"/>
          <w:kern w:val="0"/>
          <w:szCs w:val="28"/>
          <w:lang w:val="zh-CN"/>
        </w:rPr>
        <w:t>对可能成为较大以上突发环境事件的，或涉及饮用水水源地、危险化学品、有毒有害气体、重金属的，或可能产生跨界影响以及社会影响较大的敏感突发环境事件，加强应急监测，确保及时性、可靠性、真实性。</w:t>
      </w:r>
    </w:p>
    <w:p w14:paraId="0DAF3678">
      <w:pPr>
        <w:ind w:firstLine="570"/>
        <w:rPr>
          <w:rFonts w:ascii="宋体" w:hAnsi="宋体" w:eastAsia="宋体" w:cs="宋体"/>
          <w:b/>
          <w:bCs/>
          <w:kern w:val="0"/>
          <w:szCs w:val="28"/>
          <w:lang w:val="zh-CN"/>
        </w:rPr>
      </w:pPr>
      <w:r>
        <w:rPr>
          <w:rFonts w:hint="eastAsia" w:ascii="宋体" w:hAnsi="宋体" w:eastAsia="宋体" w:cs="宋体"/>
          <w:b/>
          <w:bCs/>
          <w:kern w:val="0"/>
          <w:szCs w:val="28"/>
        </w:rPr>
        <w:t>3、</w:t>
      </w:r>
      <w:r>
        <w:rPr>
          <w:rFonts w:hint="eastAsia" w:ascii="宋体" w:hAnsi="宋体" w:eastAsia="宋体" w:cs="宋体"/>
          <w:b/>
          <w:bCs/>
          <w:kern w:val="0"/>
          <w:szCs w:val="28"/>
          <w:lang w:val="zh-CN"/>
        </w:rPr>
        <w:t>提高化学品管理和处置水平</w:t>
      </w:r>
    </w:p>
    <w:p w14:paraId="54E57074">
      <w:pPr>
        <w:ind w:firstLine="562" w:firstLineChars="200"/>
        <w:rPr>
          <w:rFonts w:ascii="宋体" w:hAnsi="宋体" w:eastAsia="宋体" w:cs="宋体"/>
          <w:kern w:val="0"/>
          <w:szCs w:val="28"/>
          <w:lang w:val="zh-CN"/>
        </w:rPr>
      </w:pPr>
      <w:r>
        <w:rPr>
          <w:rFonts w:hint="eastAsia" w:ascii="宋体" w:hAnsi="宋体" w:eastAsia="宋体" w:cs="宋体"/>
          <w:b/>
          <w:bCs/>
          <w:kern w:val="0"/>
          <w:szCs w:val="28"/>
          <w:lang w:val="zh-CN"/>
        </w:rPr>
        <w:t>全面开展化学品行业风险评估。</w:t>
      </w:r>
      <w:r>
        <w:rPr>
          <w:rFonts w:hint="eastAsia" w:ascii="宋体" w:hAnsi="宋体" w:eastAsia="宋体" w:cs="宋体"/>
          <w:kern w:val="0"/>
          <w:szCs w:val="28"/>
          <w:lang w:val="zh-CN"/>
        </w:rPr>
        <w:t>开展现有化学物质危害初步筛查、使用情况调查及监控评估，以重点管理危险化学品和持久性有机污染物为重点，将化学品环境风险评估作为化学品建设项目环境影响评价的重要内容，逐步推动高毒性、难降解、高环境危害和高环境风险化学品的限制淘汰和环境风险防控。落实危险化学品企业环境安全主体责任，制定环境安全隐患排查制度，强化自查自纠，建立环境风险隐患排查整改台帐。对在生产、使用、消费过程中污染风险高的新化学物质，禁止其规模化生产和市场流通。</w:t>
      </w:r>
    </w:p>
    <w:p w14:paraId="4CFDE6B8">
      <w:pPr>
        <w:ind w:firstLine="562" w:firstLineChars="200"/>
        <w:rPr>
          <w:rFonts w:ascii="宋体" w:hAnsi="宋体" w:eastAsia="宋体" w:cs="宋体"/>
          <w:kern w:val="0"/>
          <w:szCs w:val="28"/>
          <w:lang w:val="zh-CN"/>
        </w:rPr>
      </w:pPr>
      <w:r>
        <w:rPr>
          <w:rFonts w:hint="eastAsia" w:ascii="宋体" w:hAnsi="宋体" w:eastAsia="宋体" w:cs="宋体"/>
          <w:b/>
          <w:bCs/>
          <w:kern w:val="0"/>
          <w:szCs w:val="28"/>
          <w:lang w:val="zh-CN"/>
        </w:rPr>
        <w:t>加强危险化学品运输安全管控。</w:t>
      </w:r>
      <w:r>
        <w:rPr>
          <w:rFonts w:hint="eastAsia" w:ascii="宋体" w:hAnsi="宋体" w:eastAsia="宋体" w:cs="宋体"/>
          <w:kern w:val="0"/>
          <w:szCs w:val="28"/>
          <w:lang w:val="zh-CN"/>
        </w:rPr>
        <w:t>健全危险化学品运输安全监管责任体系，严格按照国家有关法律、法规和强制性国家标准等规定的危险货物包装、装卸、运输和管理要求，落实各部门、各企业和单位的责任，提高危险化学品（危险货物）运输企业准入门槛，督促危险化学品储存、经营企业建立装货前运输车辆、人员、罐体及单据等查验制度，严把装卸关，切实防范危险化学品转运泄露事故。</w:t>
      </w:r>
    </w:p>
    <w:p w14:paraId="3D4A076C">
      <w:pPr>
        <w:ind w:firstLine="570"/>
        <w:rPr>
          <w:rFonts w:ascii="宋体" w:hAnsi="宋体" w:eastAsia="宋体" w:cs="宋体"/>
          <w:b/>
          <w:bCs/>
          <w:kern w:val="0"/>
          <w:szCs w:val="28"/>
          <w:lang w:val="zh-CN"/>
        </w:rPr>
      </w:pPr>
      <w:r>
        <w:rPr>
          <w:rFonts w:hint="eastAsia" w:ascii="宋体" w:hAnsi="宋体" w:eastAsia="宋体" w:cs="宋体"/>
          <w:b/>
          <w:bCs/>
          <w:kern w:val="0"/>
          <w:szCs w:val="28"/>
        </w:rPr>
        <w:t>4、</w:t>
      </w:r>
      <w:r>
        <w:rPr>
          <w:rFonts w:hint="eastAsia" w:ascii="宋体" w:hAnsi="宋体" w:eastAsia="宋体" w:cs="宋体"/>
          <w:b/>
          <w:bCs/>
          <w:kern w:val="0"/>
          <w:szCs w:val="28"/>
          <w:lang w:val="zh-CN"/>
        </w:rPr>
        <w:t>加强核与辐射安全监管</w:t>
      </w:r>
    </w:p>
    <w:p w14:paraId="15A433DF">
      <w:pPr>
        <w:ind w:firstLine="560" w:firstLineChars="200"/>
        <w:rPr>
          <w:rFonts w:ascii="宋体" w:hAnsi="宋体" w:eastAsia="宋体" w:cs="宋体"/>
          <w:kern w:val="0"/>
          <w:szCs w:val="28"/>
          <w:lang w:val="zh-CN"/>
        </w:rPr>
      </w:pPr>
      <w:r>
        <w:rPr>
          <w:rFonts w:hint="eastAsia" w:ascii="宋体" w:hAnsi="宋体" w:eastAsia="宋体" w:cs="宋体"/>
          <w:kern w:val="0"/>
          <w:szCs w:val="28"/>
          <w:lang w:val="zh-CN"/>
        </w:rPr>
        <w:t>深入做好放射性污染防治，对放射源的转让、转移实施审批和备案制度，利用辐射安全管理系统等信息化手段，实现放射源“从摇篮到坟墓”的全过程监管。加强放射性废物储存处置能力及运输监管能力的建设。推进核与辐射环境安全监管能力现代化建设，持续完善核安全治理体系，提升核安全治理能力。加强放射性物品运输管理，建成高风险移动放射源在线监控。推动放射性废物库安保水平提升，推进历史遗留核设施退役与放射性废物治理。</w:t>
      </w:r>
    </w:p>
    <w:p w14:paraId="62C297E9">
      <w:pPr>
        <w:pStyle w:val="5"/>
        <w:numPr>
          <w:ilvl w:val="0"/>
          <w:numId w:val="3"/>
        </w:numPr>
        <w:spacing w:before="0" w:after="0" w:line="240" w:lineRule="auto"/>
        <w:rPr>
          <w:rFonts w:ascii="仿宋" w:hAnsi="仿宋" w:eastAsia="仿宋"/>
        </w:rPr>
      </w:pPr>
      <w:bookmarkStart w:id="50" w:name="_Toc14045"/>
      <w:bookmarkStart w:id="51" w:name="_Toc86050207"/>
      <w:bookmarkStart w:id="52" w:name="_Toc115020797"/>
      <w:r>
        <w:rPr>
          <w:rFonts w:ascii="仿宋" w:hAnsi="仿宋" w:eastAsia="仿宋"/>
        </w:rPr>
        <w:t>推进环境治理现代化</w:t>
      </w:r>
      <w:bookmarkEnd w:id="50"/>
      <w:bookmarkEnd w:id="51"/>
      <w:bookmarkEnd w:id="52"/>
      <w:bookmarkStart w:id="53" w:name="_Toc49047805"/>
    </w:p>
    <w:p w14:paraId="62432496">
      <w:pPr>
        <w:ind w:firstLine="562" w:firstLineChars="200"/>
        <w:rPr>
          <w:rFonts w:ascii="宋体" w:hAnsi="宋体" w:eastAsia="宋体" w:cs="宋体"/>
          <w:b/>
          <w:bCs/>
          <w:kern w:val="0"/>
          <w:szCs w:val="28"/>
        </w:rPr>
      </w:pPr>
      <w:r>
        <w:rPr>
          <w:rFonts w:hint="eastAsia" w:ascii="宋体" w:hAnsi="宋体" w:eastAsia="宋体" w:cs="宋体"/>
          <w:b/>
          <w:bCs/>
          <w:kern w:val="0"/>
          <w:szCs w:val="28"/>
        </w:rPr>
        <w:t>1、</w:t>
      </w:r>
      <w:r>
        <w:rPr>
          <w:rFonts w:hint="eastAsia" w:ascii="宋体" w:hAnsi="宋体" w:eastAsia="宋体" w:cs="宋体"/>
          <w:b/>
          <w:bCs/>
          <w:kern w:val="0"/>
          <w:szCs w:val="28"/>
          <w:lang w:val="zh-CN"/>
        </w:rPr>
        <w:t>健全政企民多元共治体系</w:t>
      </w:r>
    </w:p>
    <w:p w14:paraId="5600C2E0">
      <w:pPr>
        <w:ind w:firstLine="562" w:firstLineChars="200"/>
        <w:rPr>
          <w:rFonts w:ascii="宋体" w:hAnsi="宋体" w:eastAsia="宋体" w:cs="宋体"/>
          <w:kern w:val="0"/>
          <w:szCs w:val="28"/>
          <w:lang w:val="zh-CN"/>
        </w:rPr>
      </w:pPr>
      <w:r>
        <w:rPr>
          <w:rFonts w:hint="eastAsia" w:ascii="宋体" w:hAnsi="宋体" w:eastAsia="宋体" w:cs="宋体"/>
          <w:b/>
          <w:bCs/>
          <w:kern w:val="0"/>
          <w:szCs w:val="28"/>
          <w:lang w:val="zh-CN"/>
        </w:rPr>
        <w:t>压实党政生态环保主体责任。</w:t>
      </w:r>
      <w:r>
        <w:rPr>
          <w:rFonts w:hint="eastAsia" w:ascii="宋体" w:hAnsi="宋体" w:eastAsia="宋体" w:cs="宋体"/>
          <w:kern w:val="0"/>
          <w:szCs w:val="28"/>
          <w:lang w:val="zh-CN"/>
        </w:rPr>
        <w:t>落实生态环境保护“党政同责”“一岗双责”，加强党委政府对生态环境保护工作的领导，强化综合决策，形成工作合力。建立健全生态文明建设领导机制，深化落实河长制、湖长制、林长制。开展年度生态文明建设评价，在县级相关部门年度考核中加大生态文明建设、生态环境保护等方面的指标权重。落实各乡镇（街道）、党委（党工委）、政府（办事处），以及各园区管委会生态环境保护责任。</w:t>
      </w:r>
    </w:p>
    <w:p w14:paraId="16A32992">
      <w:pPr>
        <w:ind w:firstLine="562" w:firstLineChars="200"/>
        <w:rPr>
          <w:rFonts w:ascii="宋体" w:hAnsi="宋体" w:eastAsia="宋体" w:cs="宋体"/>
          <w:kern w:val="0"/>
          <w:szCs w:val="28"/>
          <w:lang w:val="zh-CN"/>
        </w:rPr>
      </w:pPr>
      <w:r>
        <w:rPr>
          <w:rFonts w:hint="eastAsia" w:ascii="宋体" w:hAnsi="宋体" w:eastAsia="宋体" w:cs="宋体"/>
          <w:b/>
          <w:bCs/>
          <w:kern w:val="0"/>
          <w:szCs w:val="28"/>
          <w:lang w:val="zh-CN"/>
        </w:rPr>
        <w:t>发挥企业环境治理主体作用。</w:t>
      </w:r>
      <w:r>
        <w:rPr>
          <w:rFonts w:hint="eastAsia" w:ascii="宋体" w:hAnsi="宋体" w:eastAsia="宋体" w:cs="宋体"/>
          <w:kern w:val="0"/>
          <w:szCs w:val="28"/>
          <w:lang w:val="zh-CN"/>
        </w:rPr>
        <w:t>建立健全以排污许可制为核心的企业环境管理制度，规范完善排污许可制度，实现固定污染源排污许可全覆盖，推动排污单位按证排污、持证排污，严格落实持证排污各项要求。加强企业环境治理责任制度建设，指导企业建立环保内控制度，落实企业环保主体责任，督促企业严格执行法律法规，规范企事业单位环境信息公开工作，健全企事业单位环境信息公开制度，接受社会监督。</w:t>
      </w:r>
    </w:p>
    <w:p w14:paraId="589E64E3">
      <w:pPr>
        <w:ind w:firstLine="562" w:firstLineChars="200"/>
        <w:rPr>
          <w:rFonts w:ascii="宋体" w:hAnsi="宋体" w:eastAsia="宋体" w:cs="宋体"/>
          <w:kern w:val="0"/>
          <w:szCs w:val="28"/>
          <w:lang w:val="zh-CN"/>
        </w:rPr>
      </w:pPr>
      <w:r>
        <w:rPr>
          <w:rFonts w:hint="eastAsia" w:ascii="宋体" w:hAnsi="宋体" w:eastAsia="宋体" w:cs="宋体"/>
          <w:b/>
          <w:bCs/>
          <w:kern w:val="0"/>
          <w:szCs w:val="28"/>
          <w:lang w:val="zh-CN"/>
        </w:rPr>
        <w:t>强化社会共建与公众参与。</w:t>
      </w:r>
      <w:r>
        <w:rPr>
          <w:rFonts w:hint="eastAsia" w:ascii="宋体" w:hAnsi="宋体" w:eastAsia="宋体" w:cs="宋体"/>
          <w:kern w:val="0"/>
          <w:szCs w:val="28"/>
          <w:lang w:val="zh-CN"/>
        </w:rPr>
        <w:t>积极支持民营企业参与大气、水、土壤污染防治攻坚战，引导民营企业参与污水垃圾等环境基础设施建设、危险废物收集处理处置、产业园区绿色循环化改造、重点行业清洁生产示范等重大生态环保工程建设。在推进污水垃圾等环境基础设施建设、园区环境污染第三方治理、医疗废物和危险废物收集处理处置、大宗固体废弃物综合利用基地建设时，要对民营节能环保企业全面开放、一视同仁，确保权利平等、机会平等、规则平等。</w:t>
      </w:r>
    </w:p>
    <w:p w14:paraId="5B7B4E86">
      <w:pPr>
        <w:ind w:firstLine="562" w:firstLineChars="200"/>
        <w:rPr>
          <w:rFonts w:ascii="宋体" w:hAnsi="宋体" w:eastAsia="宋体" w:cs="宋体"/>
          <w:b/>
          <w:bCs/>
          <w:kern w:val="0"/>
          <w:szCs w:val="28"/>
          <w:lang w:val="zh-CN"/>
        </w:rPr>
      </w:pPr>
      <w:r>
        <w:rPr>
          <w:rFonts w:hint="eastAsia" w:ascii="宋体" w:hAnsi="宋体" w:eastAsia="宋体" w:cs="宋体"/>
          <w:b/>
          <w:bCs/>
          <w:kern w:val="0"/>
          <w:szCs w:val="28"/>
        </w:rPr>
        <w:t>2、</w:t>
      </w:r>
      <w:r>
        <w:rPr>
          <w:rFonts w:hint="eastAsia" w:ascii="宋体" w:hAnsi="宋体" w:eastAsia="宋体" w:cs="宋体"/>
          <w:b/>
          <w:bCs/>
          <w:kern w:val="0"/>
          <w:szCs w:val="28"/>
          <w:lang w:val="zh-CN"/>
        </w:rPr>
        <w:t>健全环境治理监管监测体系</w:t>
      </w:r>
    </w:p>
    <w:p w14:paraId="60932979">
      <w:pPr>
        <w:ind w:firstLine="562" w:firstLineChars="200"/>
        <w:rPr>
          <w:rFonts w:ascii="宋体" w:hAnsi="宋体" w:eastAsia="宋体" w:cs="宋体"/>
          <w:kern w:val="0"/>
          <w:szCs w:val="28"/>
          <w:lang w:val="zh-CN"/>
        </w:rPr>
      </w:pPr>
      <w:r>
        <w:rPr>
          <w:rFonts w:hint="eastAsia" w:ascii="宋体" w:hAnsi="宋体" w:eastAsia="宋体" w:cs="宋体"/>
          <w:b/>
          <w:bCs/>
          <w:kern w:val="0"/>
          <w:szCs w:val="28"/>
          <w:lang w:val="zh-CN"/>
        </w:rPr>
        <w:t>完善监管执法体制机制。</w:t>
      </w:r>
      <w:r>
        <w:rPr>
          <w:rFonts w:hint="eastAsia" w:ascii="宋体" w:hAnsi="宋体" w:eastAsia="宋体" w:cs="宋体"/>
          <w:kern w:val="0"/>
          <w:szCs w:val="28"/>
          <w:lang w:val="zh-CN"/>
        </w:rPr>
        <w:t>严格落实“双随机、一公开”环境监管模式，合理设置抽查比例，科学分类监管检查。推进跨部门联合“双随机”抽查，避免多头检查、重复检查。统筹山水林田湖草系统保护，尽快建立以自然保护地、生态保护红线、生物多样性保护为重点的自然生态监管制度，强化山水林田湖草的统一监管。</w:t>
      </w:r>
    </w:p>
    <w:p w14:paraId="1F35FC4B">
      <w:pPr>
        <w:ind w:firstLine="562" w:firstLineChars="200"/>
        <w:rPr>
          <w:rFonts w:ascii="宋体" w:hAnsi="宋体" w:eastAsia="宋体" w:cs="宋体"/>
          <w:kern w:val="0"/>
          <w:szCs w:val="28"/>
          <w:lang w:val="zh-CN"/>
        </w:rPr>
      </w:pPr>
      <w:r>
        <w:rPr>
          <w:rFonts w:hint="eastAsia" w:ascii="宋体" w:hAnsi="宋体" w:eastAsia="宋体" w:cs="宋体"/>
          <w:b/>
          <w:bCs/>
          <w:kern w:val="0"/>
          <w:szCs w:val="28"/>
          <w:lang w:val="zh-CN"/>
        </w:rPr>
        <w:t>加强环境监测能力。</w:t>
      </w:r>
      <w:r>
        <w:rPr>
          <w:rFonts w:hint="eastAsia" w:ascii="宋体" w:hAnsi="宋体" w:eastAsia="宋体" w:cs="宋体"/>
          <w:kern w:val="0"/>
          <w:szCs w:val="28"/>
          <w:lang w:val="zh-CN"/>
        </w:rPr>
        <w:t>以环境质量监测、污染源监督性监测和环境突发事件应急监测与预警为中心任务，强化重点污染源监督性监测，健全环境监测业务、技术和管理体系，实现环境监测的标准化、信息化、现代化。完善环境监测信息发布制度，持续推行排污企业自行监测及信息公开，强化公众监督。</w:t>
      </w:r>
    </w:p>
    <w:p w14:paraId="7E4EA798">
      <w:pPr>
        <w:ind w:firstLine="562" w:firstLineChars="200"/>
        <w:rPr>
          <w:rFonts w:ascii="宋体" w:hAnsi="宋体" w:eastAsia="宋体" w:cs="宋体"/>
          <w:kern w:val="0"/>
          <w:szCs w:val="28"/>
          <w:lang w:val="zh-CN"/>
        </w:rPr>
      </w:pPr>
      <w:r>
        <w:rPr>
          <w:rFonts w:hint="eastAsia" w:ascii="宋体" w:hAnsi="宋体" w:eastAsia="宋体" w:cs="宋体"/>
          <w:b/>
          <w:bCs/>
          <w:kern w:val="0"/>
          <w:szCs w:val="28"/>
          <w:lang w:val="zh-CN"/>
        </w:rPr>
        <w:t>加强环境执法监管能力建设。</w:t>
      </w:r>
      <w:r>
        <w:rPr>
          <w:rFonts w:hint="eastAsia" w:ascii="宋体" w:hAnsi="宋体" w:eastAsia="宋体" w:cs="宋体"/>
          <w:kern w:val="0"/>
          <w:szCs w:val="28"/>
          <w:lang w:val="zh-CN"/>
        </w:rPr>
        <w:t>加强环境监察机构标准化建设，强化执法应急物资的购置，保障执法经费，稳定执法人才队伍。进一步明确各相关单位环保监管责任，提升环境监管效能。强化环境监察人员轮训制度。加强对乡镇（街道）、园区环境管理的指导和监管。完善重点污染源自动监控体系建设。</w:t>
      </w:r>
    </w:p>
    <w:p w14:paraId="4ED43A92">
      <w:pPr>
        <w:ind w:firstLine="562" w:firstLineChars="200"/>
        <w:rPr>
          <w:rFonts w:ascii="宋体" w:hAnsi="宋体" w:eastAsia="宋体" w:cs="宋体"/>
          <w:b/>
          <w:bCs/>
          <w:kern w:val="0"/>
          <w:szCs w:val="28"/>
          <w:lang w:val="zh-CN"/>
        </w:rPr>
      </w:pPr>
      <w:r>
        <w:rPr>
          <w:rFonts w:hint="eastAsia" w:ascii="宋体" w:hAnsi="宋体" w:eastAsia="宋体" w:cs="宋体"/>
          <w:b/>
          <w:bCs/>
          <w:kern w:val="0"/>
          <w:szCs w:val="28"/>
        </w:rPr>
        <w:t>3、</w:t>
      </w:r>
      <w:r>
        <w:rPr>
          <w:rFonts w:hint="eastAsia" w:ascii="宋体" w:hAnsi="宋体" w:eastAsia="宋体" w:cs="宋体"/>
          <w:b/>
          <w:bCs/>
          <w:kern w:val="0"/>
          <w:szCs w:val="28"/>
          <w:lang w:val="zh-CN"/>
        </w:rPr>
        <w:t>落实环境经济政策</w:t>
      </w:r>
    </w:p>
    <w:p w14:paraId="53ED81AA">
      <w:pPr>
        <w:ind w:firstLine="562" w:firstLineChars="200"/>
        <w:rPr>
          <w:rFonts w:ascii="宋体" w:hAnsi="宋体" w:eastAsia="宋体" w:cs="宋体"/>
          <w:kern w:val="0"/>
          <w:szCs w:val="28"/>
          <w:lang w:val="zh-CN"/>
        </w:rPr>
      </w:pPr>
      <w:r>
        <w:rPr>
          <w:rFonts w:hint="eastAsia" w:ascii="宋体" w:hAnsi="宋体" w:eastAsia="宋体" w:cs="宋体"/>
          <w:b/>
          <w:bCs/>
          <w:kern w:val="0"/>
          <w:szCs w:val="28"/>
          <w:lang w:val="zh-CN"/>
        </w:rPr>
        <w:t>完善环境治理市场。</w:t>
      </w:r>
      <w:r>
        <w:rPr>
          <w:rFonts w:hint="eastAsia" w:ascii="宋体" w:hAnsi="宋体" w:eastAsia="宋体" w:cs="宋体"/>
          <w:kern w:val="0"/>
          <w:szCs w:val="28"/>
          <w:lang w:val="zh-CN"/>
        </w:rPr>
        <w:t>推进节能环保民营企业健康发展，引导民营企业参与污水垃圾环境基础设施、城乡黑臭水体整治等重大生态环保工程建设。创新环境治理模式，积极推行环境污染第三方治理，重点推进园区污染防治第三方治理示范。推动环境治理与生态旅游、城镇开发等产业融合发展。</w:t>
      </w:r>
    </w:p>
    <w:p w14:paraId="16787530">
      <w:pPr>
        <w:ind w:firstLine="562" w:firstLineChars="200"/>
        <w:rPr>
          <w:rFonts w:ascii="宋体" w:hAnsi="宋体" w:eastAsia="宋体" w:cs="宋体"/>
          <w:kern w:val="0"/>
          <w:szCs w:val="28"/>
          <w:lang w:val="zh-CN"/>
        </w:rPr>
      </w:pPr>
      <w:r>
        <w:rPr>
          <w:rFonts w:hint="eastAsia" w:ascii="宋体" w:hAnsi="宋体" w:eastAsia="宋体" w:cs="宋体"/>
          <w:b/>
          <w:bCs/>
          <w:kern w:val="0"/>
          <w:szCs w:val="28"/>
          <w:lang w:val="zh-CN"/>
        </w:rPr>
        <w:t>加快推动环境信用建设。</w:t>
      </w:r>
      <w:r>
        <w:rPr>
          <w:rFonts w:hint="eastAsia" w:ascii="宋体" w:hAnsi="宋体" w:eastAsia="宋体" w:cs="宋体"/>
          <w:kern w:val="0"/>
          <w:szCs w:val="28"/>
          <w:lang w:val="zh-CN"/>
        </w:rPr>
        <w:t>健全企业信用建设，根据四川省企业环境信用评价办法和工作机制，全面推动县内有关企业纳入评价体系，并按照国家有关规定上报全国信用信息共享平台，依法向社会公开。将企业环境信用结果与政府采购、财政资金补助、企业信贷等工作挂钩。</w:t>
      </w:r>
    </w:p>
    <w:p w14:paraId="2FEE5D3A">
      <w:pPr>
        <w:ind w:firstLine="562" w:firstLineChars="200"/>
        <w:rPr>
          <w:rFonts w:ascii="宋体" w:hAnsi="宋体" w:eastAsia="宋体" w:cs="宋体"/>
          <w:kern w:val="0"/>
          <w:szCs w:val="28"/>
          <w:lang w:val="zh-CN"/>
        </w:rPr>
      </w:pPr>
      <w:r>
        <w:rPr>
          <w:rFonts w:hint="eastAsia" w:ascii="宋体" w:hAnsi="宋体" w:eastAsia="宋体" w:cs="宋体"/>
          <w:b/>
          <w:bCs/>
          <w:kern w:val="0"/>
          <w:szCs w:val="28"/>
          <w:lang w:val="zh-CN"/>
        </w:rPr>
        <w:t>加大财税金融政策支持力度。</w:t>
      </w:r>
      <w:r>
        <w:rPr>
          <w:rFonts w:hint="eastAsia" w:ascii="宋体" w:hAnsi="宋体" w:eastAsia="宋体" w:cs="宋体"/>
          <w:kern w:val="0"/>
          <w:szCs w:val="28"/>
          <w:lang w:val="zh-CN"/>
        </w:rPr>
        <w:t>县级财政根据事权财权划分承担生态环境方面的支出责任。积极争取纵向生态补偿资金，探索引入市场机制和社会资金参与生态补偿。贯彻落实环境保护、节能节水项目企业所得税等减免税政策。鼓励环境高风险企业投保环境污染责任保险。利用政府和社会资本合作（PPP）模式扩大绿色投资。</w:t>
      </w:r>
    </w:p>
    <w:p w14:paraId="1F1B3A67">
      <w:pPr>
        <w:ind w:firstLine="562" w:firstLineChars="200"/>
        <w:rPr>
          <w:rFonts w:ascii="宋体" w:hAnsi="宋体" w:eastAsia="宋体" w:cs="宋体"/>
          <w:b/>
          <w:bCs/>
          <w:kern w:val="0"/>
          <w:szCs w:val="28"/>
          <w:lang w:val="zh-CN"/>
        </w:rPr>
      </w:pPr>
      <w:r>
        <w:rPr>
          <w:rFonts w:hint="eastAsia" w:ascii="宋体" w:hAnsi="宋体" w:eastAsia="宋体" w:cs="宋体"/>
          <w:b/>
          <w:bCs/>
          <w:kern w:val="0"/>
          <w:szCs w:val="28"/>
        </w:rPr>
        <w:t>4、</w:t>
      </w:r>
      <w:r>
        <w:rPr>
          <w:rFonts w:hint="eastAsia" w:ascii="宋体" w:hAnsi="宋体" w:eastAsia="宋体" w:cs="宋体"/>
          <w:b/>
          <w:bCs/>
          <w:kern w:val="0"/>
          <w:szCs w:val="28"/>
          <w:lang w:val="zh-CN"/>
        </w:rPr>
        <w:t>加强生态环保铁军队伍建设</w:t>
      </w:r>
    </w:p>
    <w:p w14:paraId="7C904C4B">
      <w:pPr>
        <w:ind w:firstLine="562" w:firstLineChars="200"/>
        <w:rPr>
          <w:rFonts w:ascii="宋体" w:hAnsi="宋体" w:eastAsia="宋体" w:cs="宋体"/>
          <w:kern w:val="0"/>
          <w:szCs w:val="28"/>
          <w:lang w:val="zh-CN"/>
        </w:rPr>
      </w:pPr>
      <w:r>
        <w:rPr>
          <w:rFonts w:hint="eastAsia" w:ascii="宋体" w:hAnsi="宋体" w:eastAsia="宋体" w:cs="宋体"/>
          <w:b/>
          <w:bCs/>
          <w:kern w:val="0"/>
          <w:szCs w:val="28"/>
          <w:lang w:val="zh-CN"/>
        </w:rPr>
        <w:t>提升铁军素养能力。</w:t>
      </w:r>
      <w:r>
        <w:rPr>
          <w:rFonts w:hint="eastAsia" w:ascii="宋体" w:hAnsi="宋体" w:eastAsia="宋体" w:cs="宋体"/>
          <w:kern w:val="0"/>
          <w:szCs w:val="28"/>
          <w:lang w:val="zh-CN"/>
        </w:rPr>
        <w:t>强化基层党建，确保党组织功能有效发挥，将组织优势转化为推动发展动能。开展理论武装，着眼生态环境保护事业需要，推进理论学习与业务工作深度融合。强化业务能力培训，采取业务培训、环保讲堂、实战演练、技能比武、以老带新、比赛竞赛、经验交流等多种方式，广泛开展岗位大练兵，不断提高业务水平。提升干部综合能力，加大干部上挂下派力度，建立生态环境系统干部横向交流机制，推动干部轮岗锻炼。</w:t>
      </w:r>
    </w:p>
    <w:p w14:paraId="51115892">
      <w:pPr>
        <w:ind w:firstLine="562" w:firstLineChars="200"/>
        <w:rPr>
          <w:rFonts w:ascii="宋体" w:hAnsi="宋体" w:eastAsia="宋体" w:cs="宋体"/>
          <w:kern w:val="0"/>
          <w:szCs w:val="28"/>
          <w:lang w:val="zh-CN"/>
        </w:rPr>
      </w:pPr>
      <w:r>
        <w:rPr>
          <w:rFonts w:hint="eastAsia" w:ascii="宋体" w:hAnsi="宋体" w:eastAsia="宋体" w:cs="宋体"/>
          <w:b/>
          <w:bCs/>
          <w:kern w:val="0"/>
          <w:szCs w:val="28"/>
          <w:lang w:val="zh-CN"/>
        </w:rPr>
        <w:t>强化铁军目标考核。</w:t>
      </w:r>
      <w:r>
        <w:rPr>
          <w:rFonts w:hint="eastAsia" w:ascii="宋体" w:hAnsi="宋体" w:eastAsia="宋体" w:cs="宋体"/>
          <w:kern w:val="0"/>
          <w:szCs w:val="28"/>
          <w:lang w:val="zh-CN"/>
        </w:rPr>
        <w:t>完善考核评价机制，把考核评价与选拔任用、监督管理、激励约束结合，解决“干多干少一个样”的问题，促进干部职工履职尽责，打造一支能征善战、能打硬仗的生态环保铁军。</w:t>
      </w:r>
    </w:p>
    <w:p w14:paraId="235F2D6D">
      <w:pPr>
        <w:ind w:firstLine="562" w:firstLineChars="200"/>
        <w:rPr>
          <w:rFonts w:ascii="宋体" w:hAnsi="宋体" w:eastAsia="宋体" w:cs="宋体"/>
          <w:kern w:val="0"/>
          <w:szCs w:val="28"/>
          <w:lang w:val="zh-CN"/>
        </w:rPr>
      </w:pPr>
      <w:r>
        <w:rPr>
          <w:rFonts w:hint="eastAsia" w:ascii="宋体" w:hAnsi="宋体" w:eastAsia="宋体" w:cs="宋体"/>
          <w:b/>
          <w:bCs/>
          <w:kern w:val="0"/>
          <w:szCs w:val="28"/>
          <w:lang w:val="zh-CN"/>
        </w:rPr>
        <w:t>严明铁军纪律作风。</w:t>
      </w:r>
      <w:r>
        <w:rPr>
          <w:rFonts w:hint="eastAsia" w:ascii="宋体" w:hAnsi="宋体" w:eastAsia="宋体" w:cs="宋体"/>
          <w:kern w:val="0"/>
          <w:szCs w:val="28"/>
          <w:lang w:val="zh-CN"/>
        </w:rPr>
        <w:t>加强党对环境保护工作的领导，加大环境保护系统专业化的水平建设。坚持加强环境保护机关党的建设，打造纪律严明，行为规范，作风优良的环保铁军。</w:t>
      </w:r>
    </w:p>
    <w:bookmarkEnd w:id="53"/>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0"/>
      </w:tblGrid>
      <w:tr w14:paraId="23A24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470" w:type="dxa"/>
            <w:shd w:val="clear" w:color="auto" w:fill="auto"/>
            <w:vAlign w:val="center"/>
          </w:tcPr>
          <w:p w14:paraId="6F330F95">
            <w:pPr>
              <w:spacing w:line="540" w:lineRule="exact"/>
              <w:jc w:val="center"/>
              <w:rPr>
                <w:rFonts w:eastAsia="黑体"/>
                <w:szCs w:val="21"/>
              </w:rPr>
            </w:pPr>
            <w:r>
              <w:rPr>
                <w:rFonts w:eastAsia="黑体"/>
                <w:b/>
                <w:bCs/>
                <w:szCs w:val="21"/>
              </w:rPr>
              <w:t>专栏</w:t>
            </w:r>
            <w:r>
              <w:rPr>
                <w:rFonts w:hint="eastAsia" w:eastAsia="黑体"/>
                <w:b/>
                <w:bCs/>
                <w:szCs w:val="21"/>
              </w:rPr>
              <w:t>4</w:t>
            </w:r>
            <w:r>
              <w:rPr>
                <w:rFonts w:eastAsia="黑体"/>
                <w:b/>
                <w:bCs/>
                <w:szCs w:val="21"/>
              </w:rPr>
              <w:t xml:space="preserve"> </w:t>
            </w:r>
            <w:r>
              <w:rPr>
                <w:rFonts w:hint="eastAsia" w:eastAsia="黑体"/>
                <w:b/>
                <w:bCs/>
                <w:szCs w:val="21"/>
                <w:lang w:val="zh-CN"/>
              </w:rPr>
              <w:t>监管能力建设</w:t>
            </w:r>
            <w:r>
              <w:rPr>
                <w:rFonts w:eastAsia="黑体"/>
                <w:b/>
                <w:bCs/>
                <w:szCs w:val="21"/>
              </w:rPr>
              <w:t>重点</w:t>
            </w:r>
            <w:r>
              <w:rPr>
                <w:rFonts w:hint="eastAsia" w:eastAsia="黑体"/>
                <w:b/>
                <w:bCs/>
                <w:szCs w:val="21"/>
              </w:rPr>
              <w:t>项目</w:t>
            </w:r>
          </w:p>
        </w:tc>
      </w:tr>
      <w:tr w14:paraId="42D2B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8470" w:type="dxa"/>
            <w:vAlign w:val="center"/>
          </w:tcPr>
          <w:p w14:paraId="78E33BD3">
            <w:pPr>
              <w:numPr>
                <w:ilvl w:val="255"/>
                <w:numId w:val="0"/>
              </w:numPr>
              <w:ind w:firstLine="466" w:firstLineChars="200"/>
            </w:pPr>
            <w:r>
              <w:rPr>
                <w:rFonts w:hint="eastAsia" w:eastAsia="仿宋_GB2312"/>
                <w:b/>
                <w:spacing w:val="-4"/>
                <w:sz w:val="24"/>
                <w:szCs w:val="24"/>
              </w:rPr>
              <w:t>1、生态环境监测能力现代化建设。</w:t>
            </w:r>
            <w:r>
              <w:rPr>
                <w:rFonts w:hint="eastAsia" w:eastAsia="仿宋_GB2312"/>
                <w:spacing w:val="-4"/>
                <w:sz w:val="24"/>
                <w:szCs w:val="24"/>
              </w:rPr>
              <w:t>推进生态环境监测网络体系建设，在集益镇、宝五镇、千佛镇、研城街道建设大气自动微型观测站4个；在芒溪河流域及其重要支流、工业园区、规模以上入河排污口等位置建设水质自动监测点。</w:t>
            </w:r>
          </w:p>
        </w:tc>
      </w:tr>
    </w:tbl>
    <w:p w14:paraId="68FD033B">
      <w:pPr>
        <w:pStyle w:val="57"/>
        <w:rPr>
          <w:lang w:val="zh-CN"/>
        </w:rPr>
      </w:pPr>
    </w:p>
    <w:p w14:paraId="6D51B649">
      <w:pPr>
        <w:rPr>
          <w:rFonts w:asciiTheme="minorEastAsia" w:hAnsiTheme="minorEastAsia" w:eastAsiaTheme="minorEastAsia"/>
          <w:szCs w:val="28"/>
        </w:rPr>
      </w:pPr>
      <w:r>
        <w:rPr>
          <w:rFonts w:hint="eastAsia" w:asciiTheme="minorEastAsia" w:hAnsiTheme="minorEastAsia" w:eastAsiaTheme="minorEastAsia"/>
          <w:szCs w:val="28"/>
        </w:rPr>
        <w:br w:type="page"/>
      </w:r>
    </w:p>
    <w:p w14:paraId="682B7B04">
      <w:pPr>
        <w:pStyle w:val="4"/>
        <w:jc w:val="left"/>
        <w:rPr>
          <w:sz w:val="32"/>
        </w:rPr>
      </w:pPr>
      <w:bookmarkStart w:id="54" w:name="_Toc115020798"/>
      <w:r>
        <w:rPr>
          <w:rFonts w:hint="eastAsia"/>
          <w:sz w:val="32"/>
        </w:rPr>
        <w:t>五、保障措施</w:t>
      </w:r>
      <w:bookmarkEnd w:id="54"/>
    </w:p>
    <w:p w14:paraId="178E61E9">
      <w:pPr>
        <w:pStyle w:val="5"/>
        <w:spacing w:before="0" w:after="0" w:line="240" w:lineRule="auto"/>
        <w:ind w:firstLine="602" w:firstLineChars="200"/>
        <w:rPr>
          <w:rFonts w:ascii="仿宋" w:hAnsi="仿宋" w:eastAsia="仿宋"/>
        </w:rPr>
      </w:pPr>
      <w:bookmarkStart w:id="55" w:name="_Toc68131408"/>
      <w:bookmarkStart w:id="56" w:name="_Toc86050218"/>
      <w:bookmarkStart w:id="57" w:name="_Toc115020799"/>
      <w:bookmarkStart w:id="58" w:name="_Toc68131348"/>
      <w:r>
        <w:rPr>
          <w:rFonts w:hint="eastAsia" w:ascii="仿宋" w:hAnsi="仿宋" w:eastAsia="仿宋"/>
        </w:rPr>
        <w:t>（一）强化组织领导</w:t>
      </w:r>
      <w:bookmarkEnd w:id="55"/>
      <w:bookmarkEnd w:id="56"/>
      <w:bookmarkEnd w:id="57"/>
      <w:bookmarkEnd w:id="58"/>
    </w:p>
    <w:p w14:paraId="21A14990">
      <w:pPr>
        <w:pStyle w:val="51"/>
        <w:spacing w:line="240" w:lineRule="auto"/>
        <w:ind w:left="40" w:firstLine="562"/>
        <w:rPr>
          <w:rFonts w:asciiTheme="majorEastAsia" w:hAnsiTheme="majorEastAsia" w:eastAsiaTheme="majorEastAsia"/>
          <w:b/>
          <w:sz w:val="28"/>
          <w:szCs w:val="28"/>
        </w:rPr>
      </w:pPr>
      <w:bookmarkStart w:id="59" w:name="_Toc67440562"/>
      <w:bookmarkStart w:id="60" w:name="_Toc68131349"/>
      <w:r>
        <w:rPr>
          <w:rFonts w:asciiTheme="majorEastAsia" w:hAnsiTheme="majorEastAsia" w:eastAsiaTheme="majorEastAsia"/>
          <w:b/>
          <w:sz w:val="28"/>
          <w:szCs w:val="28"/>
        </w:rPr>
        <w:t>1</w:t>
      </w:r>
      <w:r>
        <w:rPr>
          <w:rFonts w:hint="eastAsia" w:asciiTheme="majorEastAsia" w:hAnsiTheme="majorEastAsia" w:eastAsiaTheme="majorEastAsia"/>
          <w:b/>
          <w:sz w:val="28"/>
          <w:szCs w:val="28"/>
        </w:rPr>
        <w:t>、提高战略定位</w:t>
      </w:r>
      <w:bookmarkEnd w:id="59"/>
      <w:bookmarkEnd w:id="60"/>
    </w:p>
    <w:p w14:paraId="64039E8F">
      <w:pPr>
        <w:widowControl w:val="0"/>
        <w:topLinePunct/>
        <w:adjustRightInd w:val="0"/>
        <w:snapToGrid w:val="0"/>
        <w:spacing w:line="560" w:lineRule="exact"/>
        <w:ind w:firstLine="544" w:firstLineChars="200"/>
        <w:rPr>
          <w:rFonts w:ascii="宋体" w:hAnsi="宋体" w:eastAsia="宋体"/>
          <w:spacing w:val="-4"/>
          <w:szCs w:val="28"/>
          <w:lang w:val="zh-CN"/>
        </w:rPr>
      </w:pPr>
      <w:r>
        <w:rPr>
          <w:rFonts w:hint="eastAsia" w:ascii="宋体" w:hAnsi="宋体" w:eastAsia="宋体" w:cs="宋体"/>
          <w:spacing w:val="-4"/>
          <w:szCs w:val="28"/>
          <w:lang w:val="zh-CN"/>
        </w:rPr>
        <w:t>县</w:t>
      </w:r>
      <w:r>
        <w:rPr>
          <w:rFonts w:hint="eastAsia" w:ascii="宋体" w:hAnsi="宋体" w:eastAsia="宋体"/>
          <w:spacing w:val="-4"/>
          <w:szCs w:val="28"/>
          <w:lang w:val="zh-CN"/>
        </w:rPr>
        <w:t>党委、政府要进一步增强战略思维和全局观念，切实把生态环境工作摆在更加突出的位子，按照“五位一体”总体布局要求，通盘谋划、整体部署、统筹推进。各级人民政府是规划实施的责任主体，要将规划实施与生态文明建设紧密结合，把规划目标、约束性指标、任务、措施和重点工程纳入</w:t>
      </w:r>
      <w:r>
        <w:rPr>
          <w:rFonts w:hint="eastAsia" w:ascii="宋体" w:hAnsi="宋体" w:eastAsia="宋体" w:cs="宋体"/>
          <w:spacing w:val="-4"/>
          <w:szCs w:val="28"/>
          <w:lang w:val="zh-CN"/>
        </w:rPr>
        <w:t>政府考核目标</w:t>
      </w:r>
      <w:r>
        <w:rPr>
          <w:rFonts w:hint="eastAsia" w:ascii="宋体" w:hAnsi="宋体" w:eastAsia="宋体"/>
          <w:spacing w:val="-4"/>
          <w:szCs w:val="28"/>
          <w:lang w:val="zh-CN"/>
        </w:rPr>
        <w:t>，制定生态环境保护重点任务和年度目标。严格履行职责，整合工作力量，采取综合措施，充分调动各族群众和社会各界参与生态保护建设、发展生态经济的积极性、主动性与创造性，行程党委领导、政府推动、示范带动、全民齐动的工作格局。</w:t>
      </w:r>
    </w:p>
    <w:p w14:paraId="53FC249E">
      <w:pPr>
        <w:pStyle w:val="51"/>
        <w:spacing w:line="240" w:lineRule="auto"/>
        <w:ind w:firstLine="562"/>
        <w:rPr>
          <w:rFonts w:asciiTheme="majorEastAsia" w:hAnsiTheme="majorEastAsia" w:eastAsiaTheme="majorEastAsia"/>
          <w:b/>
          <w:sz w:val="28"/>
          <w:szCs w:val="28"/>
        </w:rPr>
      </w:pPr>
      <w:bookmarkStart w:id="61" w:name="_Toc68131350"/>
      <w:bookmarkStart w:id="62" w:name="_Toc67440563"/>
      <w:r>
        <w:rPr>
          <w:rFonts w:asciiTheme="majorEastAsia" w:hAnsiTheme="majorEastAsia" w:eastAsiaTheme="majorEastAsia"/>
          <w:b/>
          <w:sz w:val="28"/>
          <w:szCs w:val="28"/>
        </w:rPr>
        <w:t>2</w:t>
      </w:r>
      <w:r>
        <w:rPr>
          <w:rFonts w:hint="eastAsia" w:asciiTheme="majorEastAsia" w:hAnsiTheme="majorEastAsia" w:eastAsiaTheme="majorEastAsia"/>
          <w:b/>
          <w:sz w:val="28"/>
          <w:szCs w:val="28"/>
        </w:rPr>
        <w:t>、明确目标责任</w:t>
      </w:r>
      <w:bookmarkEnd w:id="61"/>
      <w:bookmarkEnd w:id="62"/>
    </w:p>
    <w:p w14:paraId="0455A444">
      <w:pPr>
        <w:widowControl w:val="0"/>
        <w:topLinePunct/>
        <w:adjustRightInd w:val="0"/>
        <w:snapToGrid w:val="0"/>
        <w:spacing w:line="560" w:lineRule="exact"/>
        <w:ind w:firstLine="544" w:firstLineChars="200"/>
        <w:rPr>
          <w:rFonts w:ascii="宋体" w:hAnsi="宋体" w:eastAsia="宋体"/>
          <w:spacing w:val="-4"/>
          <w:szCs w:val="28"/>
          <w:lang w:val="zh-CN"/>
        </w:rPr>
      </w:pPr>
      <w:r>
        <w:rPr>
          <w:rFonts w:hint="eastAsia" w:ascii="宋体" w:hAnsi="宋体" w:eastAsia="宋体"/>
          <w:spacing w:val="-4"/>
          <w:szCs w:val="28"/>
          <w:lang w:val="zh-CN"/>
        </w:rPr>
        <w:t>各级政府主要领导对生态文明建设与生态环境保护负总责，加强组织领导，统一协调各行业、各部门之间的关系，将生态环境保护规划纳入政府目标责任制，并将生态文明建设与生态环境保护的各项任务纳入政府目标责任制和领导工作目标考核内容，签定目标责任状，使规划落到实处，确保工作卓有成效地开展。</w:t>
      </w:r>
    </w:p>
    <w:p w14:paraId="183B3624">
      <w:pPr>
        <w:pStyle w:val="5"/>
        <w:spacing w:before="0" w:after="0" w:line="240" w:lineRule="auto"/>
        <w:ind w:firstLine="602" w:firstLineChars="200"/>
        <w:rPr>
          <w:rFonts w:ascii="仿宋" w:hAnsi="仿宋" w:eastAsia="仿宋"/>
        </w:rPr>
      </w:pPr>
      <w:bookmarkStart w:id="63" w:name="_Toc86050219"/>
      <w:bookmarkStart w:id="64" w:name="_Toc115020800"/>
      <w:bookmarkStart w:id="65" w:name="_Toc57620810"/>
      <w:bookmarkStart w:id="66" w:name="_Toc68131413"/>
      <w:bookmarkStart w:id="67" w:name="_Toc68131369"/>
      <w:r>
        <w:rPr>
          <w:rFonts w:hint="eastAsia" w:ascii="仿宋" w:hAnsi="仿宋" w:eastAsia="仿宋"/>
        </w:rPr>
        <w:t>（二）完善制度体系</w:t>
      </w:r>
      <w:bookmarkEnd w:id="63"/>
      <w:bookmarkEnd w:id="64"/>
    </w:p>
    <w:p w14:paraId="7325AE06">
      <w:pPr>
        <w:pStyle w:val="51"/>
        <w:spacing w:line="240" w:lineRule="auto"/>
        <w:ind w:firstLine="562"/>
        <w:rPr>
          <w:rFonts w:asciiTheme="majorEastAsia" w:hAnsiTheme="majorEastAsia" w:eastAsiaTheme="majorEastAsia"/>
          <w:b/>
          <w:sz w:val="28"/>
          <w:szCs w:val="28"/>
        </w:rPr>
      </w:pPr>
      <w:r>
        <w:rPr>
          <w:rFonts w:hint="eastAsia" w:asciiTheme="majorEastAsia" w:hAnsiTheme="majorEastAsia" w:eastAsiaTheme="majorEastAsia"/>
          <w:b/>
          <w:sz w:val="28"/>
          <w:szCs w:val="28"/>
        </w:rPr>
        <w:t>1、 建立生态修复长效机制</w:t>
      </w:r>
    </w:p>
    <w:p w14:paraId="045ED699">
      <w:pPr>
        <w:widowControl w:val="0"/>
        <w:topLinePunct/>
        <w:adjustRightInd w:val="0"/>
        <w:snapToGrid w:val="0"/>
        <w:spacing w:line="560" w:lineRule="exact"/>
        <w:ind w:firstLine="544" w:firstLineChars="200"/>
        <w:rPr>
          <w:rFonts w:ascii="宋体" w:hAnsi="宋体" w:eastAsia="宋体"/>
          <w:spacing w:val="-4"/>
          <w:szCs w:val="28"/>
        </w:rPr>
      </w:pPr>
      <w:r>
        <w:rPr>
          <w:rFonts w:hint="eastAsia" w:ascii="宋体" w:hAnsi="宋体" w:eastAsia="宋体"/>
          <w:spacing w:val="-4"/>
          <w:szCs w:val="28"/>
        </w:rPr>
        <w:t>建立健全生态修复制度，对污染者坚持“谁破坏、谁付费、谁修复”的原则，确保生态环境破坏后能够得到及时恢复。对无法找到责任主体的，由政府承担整治修复责任。充分发挥土地政策聚合资金效用，构建政府主导、部门合作、社会协同、公众参与的国土综合整治工作机制。</w:t>
      </w:r>
    </w:p>
    <w:p w14:paraId="45DAAEAB">
      <w:pPr>
        <w:pStyle w:val="51"/>
        <w:spacing w:line="240" w:lineRule="auto"/>
        <w:ind w:firstLine="562"/>
        <w:rPr>
          <w:rFonts w:asciiTheme="majorEastAsia" w:hAnsiTheme="majorEastAsia" w:eastAsiaTheme="majorEastAsia"/>
          <w:b/>
          <w:sz w:val="28"/>
          <w:szCs w:val="28"/>
        </w:rPr>
      </w:pPr>
      <w:r>
        <w:rPr>
          <w:rFonts w:hint="eastAsia" w:asciiTheme="majorEastAsia" w:hAnsiTheme="majorEastAsia" w:eastAsiaTheme="majorEastAsia"/>
          <w:b/>
          <w:sz w:val="28"/>
          <w:szCs w:val="28"/>
        </w:rPr>
        <w:t>2、健全综合决策机制</w:t>
      </w:r>
    </w:p>
    <w:p w14:paraId="3D8F7E95">
      <w:pPr>
        <w:widowControl w:val="0"/>
        <w:topLinePunct/>
        <w:adjustRightInd w:val="0"/>
        <w:snapToGrid w:val="0"/>
        <w:spacing w:line="560" w:lineRule="exact"/>
        <w:ind w:firstLine="544" w:firstLineChars="200"/>
        <w:rPr>
          <w:rFonts w:ascii="宋体" w:hAnsi="宋体" w:eastAsia="宋体"/>
          <w:spacing w:val="-4"/>
          <w:szCs w:val="28"/>
        </w:rPr>
      </w:pPr>
      <w:r>
        <w:rPr>
          <w:rFonts w:hint="eastAsia" w:ascii="宋体" w:hAnsi="宋体" w:eastAsia="宋体"/>
          <w:spacing w:val="-4"/>
          <w:szCs w:val="28"/>
        </w:rPr>
        <w:t>在制定国民经济发展战略规划、产业政策、经济结构调整等重大经济、技术政策中实行综合决策，把资源能源消耗和环境影响作为重要因素考虑。将区域环境禀赋和环境约束作为重大决策制定的基本依据，实行重大规划的环境影响评价，推进项目环境影响评价。建立重大决策终身责任追究制度和责任溯源机制，对盲目决策、产生重大环境后果的党政首长、负有责任的其他领导人员和相关责任人员追究责任。健全跨部门联合执法机制，推动相关部门督察检查结果互认互用。持续强化公众参与，开门问策、集思广益。</w:t>
      </w:r>
    </w:p>
    <w:p w14:paraId="380D0D96">
      <w:pPr>
        <w:pStyle w:val="51"/>
        <w:spacing w:line="240" w:lineRule="auto"/>
        <w:ind w:firstLine="562"/>
        <w:rPr>
          <w:rFonts w:asciiTheme="majorEastAsia" w:hAnsiTheme="majorEastAsia" w:eastAsiaTheme="majorEastAsia"/>
          <w:b/>
          <w:sz w:val="28"/>
          <w:szCs w:val="28"/>
        </w:rPr>
      </w:pPr>
      <w:r>
        <w:rPr>
          <w:rFonts w:hint="eastAsia" w:asciiTheme="majorEastAsia" w:hAnsiTheme="majorEastAsia" w:eastAsiaTheme="majorEastAsia"/>
          <w:b/>
          <w:sz w:val="28"/>
          <w:szCs w:val="28"/>
        </w:rPr>
        <w:t>3、完善环境保护管理制度</w:t>
      </w:r>
    </w:p>
    <w:p w14:paraId="4C686FEC">
      <w:pPr>
        <w:widowControl w:val="0"/>
        <w:topLinePunct/>
        <w:adjustRightInd w:val="0"/>
        <w:snapToGrid w:val="0"/>
        <w:ind w:firstLine="544" w:firstLineChars="200"/>
        <w:rPr>
          <w:rFonts w:ascii="宋体" w:hAnsi="宋体" w:eastAsia="宋体"/>
          <w:spacing w:val="-4"/>
          <w:szCs w:val="28"/>
          <w:lang w:val="zh-CN"/>
        </w:rPr>
      </w:pPr>
      <w:r>
        <w:rPr>
          <w:rFonts w:hint="eastAsia" w:ascii="宋体" w:hAnsi="宋体" w:eastAsia="宋体"/>
          <w:spacing w:val="-4"/>
          <w:szCs w:val="28"/>
        </w:rPr>
        <w:t>对接市相关总量控制要求，从污染物排放、资源开发方式、对生态环境的影响程度、单位产值能耗、土地产出效益等方面确定定量化的准入标准。规范污染物排放许可行为，确保环境影响评价率及环保竣工验收通过率达到100%。探索形成与企业主约谈制度，提高执法检查效能。健全生态环境损害鉴定评估机制，建立项目建设生态审查机制，强化全流程生态跟踪监督。加强生态环境普法宣传教育，把生态文明纳入精神文明建设和教育培训体系。</w:t>
      </w:r>
    </w:p>
    <w:p w14:paraId="6950E428">
      <w:pPr>
        <w:pStyle w:val="5"/>
        <w:spacing w:before="0" w:after="0" w:line="240" w:lineRule="auto"/>
        <w:ind w:firstLine="602" w:firstLineChars="200"/>
        <w:rPr>
          <w:rFonts w:ascii="仿宋" w:hAnsi="仿宋" w:eastAsia="仿宋"/>
        </w:rPr>
      </w:pPr>
      <w:bookmarkStart w:id="68" w:name="_Toc86050220"/>
      <w:bookmarkStart w:id="69" w:name="_Toc115020801"/>
      <w:r>
        <w:rPr>
          <w:rFonts w:hint="eastAsia" w:ascii="仿宋" w:hAnsi="仿宋" w:eastAsia="仿宋"/>
        </w:rPr>
        <w:t>（三）加强</w:t>
      </w:r>
      <w:r>
        <w:rPr>
          <w:rFonts w:ascii="仿宋" w:hAnsi="仿宋" w:eastAsia="仿宋"/>
        </w:rPr>
        <w:t>资金保障</w:t>
      </w:r>
      <w:bookmarkEnd w:id="65"/>
      <w:bookmarkEnd w:id="68"/>
      <w:bookmarkEnd w:id="69"/>
    </w:p>
    <w:p w14:paraId="3796B201">
      <w:pPr>
        <w:pStyle w:val="51"/>
        <w:spacing w:line="240" w:lineRule="auto"/>
        <w:ind w:firstLine="562"/>
        <w:rPr>
          <w:rFonts w:asciiTheme="majorEastAsia" w:hAnsiTheme="majorEastAsia" w:eastAsiaTheme="majorEastAsia"/>
          <w:b/>
          <w:sz w:val="28"/>
          <w:szCs w:val="28"/>
        </w:rPr>
      </w:pPr>
      <w:bookmarkStart w:id="70" w:name="_Toc522719078"/>
      <w:r>
        <w:rPr>
          <w:rFonts w:asciiTheme="majorEastAsia" w:hAnsiTheme="majorEastAsia" w:eastAsiaTheme="majorEastAsia"/>
          <w:b/>
          <w:sz w:val="28"/>
          <w:szCs w:val="28"/>
        </w:rPr>
        <w:t>1</w:t>
      </w:r>
      <w:r>
        <w:rPr>
          <w:rFonts w:hint="eastAsia" w:asciiTheme="majorEastAsia" w:hAnsiTheme="majorEastAsia" w:eastAsiaTheme="majorEastAsia"/>
          <w:b/>
          <w:sz w:val="28"/>
          <w:szCs w:val="28"/>
        </w:rPr>
        <w:t>、</w:t>
      </w:r>
      <w:r>
        <w:rPr>
          <w:rFonts w:asciiTheme="majorEastAsia" w:hAnsiTheme="majorEastAsia" w:eastAsiaTheme="majorEastAsia"/>
          <w:b/>
          <w:sz w:val="28"/>
          <w:szCs w:val="28"/>
        </w:rPr>
        <w:t>加大资金投入力度</w:t>
      </w:r>
      <w:bookmarkEnd w:id="70"/>
    </w:p>
    <w:p w14:paraId="36977B16">
      <w:pPr>
        <w:widowControl w:val="0"/>
        <w:topLinePunct/>
        <w:adjustRightInd w:val="0"/>
        <w:snapToGrid w:val="0"/>
        <w:spacing w:line="560" w:lineRule="exact"/>
        <w:ind w:firstLine="544" w:firstLineChars="200"/>
        <w:rPr>
          <w:rFonts w:ascii="宋体" w:hAnsi="宋体" w:eastAsia="宋体"/>
          <w:spacing w:val="-4"/>
          <w:szCs w:val="28"/>
          <w:lang w:val="zh-CN"/>
        </w:rPr>
      </w:pPr>
      <w:r>
        <w:rPr>
          <w:rFonts w:hint="eastAsia" w:ascii="宋体" w:hAnsi="宋体" w:eastAsia="宋体"/>
          <w:spacing w:val="-4"/>
          <w:szCs w:val="28"/>
          <w:lang w:val="zh-CN"/>
        </w:rPr>
        <w:t>重大的生态环境建设项目应优先纳入国民经济社会发展计划。拓宽财政支持来源，建立多元化融资渠道，在各行业主管部门积极申报相关项目争取上级专项资金支持，县财政局要积极筹措资金，全力做好资金保障。</w:t>
      </w:r>
    </w:p>
    <w:p w14:paraId="7555C1FD">
      <w:pPr>
        <w:pStyle w:val="51"/>
        <w:spacing w:line="240" w:lineRule="auto"/>
        <w:ind w:firstLine="562"/>
        <w:rPr>
          <w:rFonts w:asciiTheme="majorEastAsia" w:hAnsiTheme="majorEastAsia" w:eastAsiaTheme="majorEastAsia"/>
          <w:b/>
          <w:sz w:val="28"/>
          <w:szCs w:val="28"/>
        </w:rPr>
      </w:pPr>
      <w:bookmarkStart w:id="71" w:name="_Toc522719079"/>
      <w:r>
        <w:rPr>
          <w:rFonts w:asciiTheme="majorEastAsia" w:hAnsiTheme="majorEastAsia" w:eastAsiaTheme="majorEastAsia"/>
          <w:b/>
          <w:sz w:val="28"/>
          <w:szCs w:val="28"/>
        </w:rPr>
        <w:t>2</w:t>
      </w:r>
      <w:r>
        <w:rPr>
          <w:rFonts w:hint="eastAsia" w:asciiTheme="majorEastAsia" w:hAnsiTheme="majorEastAsia" w:eastAsiaTheme="majorEastAsia"/>
          <w:b/>
          <w:sz w:val="28"/>
          <w:szCs w:val="28"/>
        </w:rPr>
        <w:t>、</w:t>
      </w:r>
      <w:r>
        <w:rPr>
          <w:rFonts w:asciiTheme="majorEastAsia" w:hAnsiTheme="majorEastAsia" w:eastAsiaTheme="majorEastAsia"/>
          <w:b/>
          <w:sz w:val="28"/>
          <w:szCs w:val="28"/>
        </w:rPr>
        <w:t>建立多元化融资渠道</w:t>
      </w:r>
      <w:bookmarkEnd w:id="71"/>
    </w:p>
    <w:p w14:paraId="3F7EC672">
      <w:pPr>
        <w:widowControl w:val="0"/>
        <w:topLinePunct/>
        <w:adjustRightInd w:val="0"/>
        <w:snapToGrid w:val="0"/>
        <w:spacing w:line="560" w:lineRule="exact"/>
        <w:ind w:firstLine="544" w:firstLineChars="200"/>
        <w:rPr>
          <w:rFonts w:ascii="宋体" w:hAnsi="宋体" w:eastAsia="宋体"/>
          <w:spacing w:val="-4"/>
          <w:szCs w:val="28"/>
          <w:lang w:val="zh-CN"/>
        </w:rPr>
      </w:pPr>
      <w:r>
        <w:rPr>
          <w:rFonts w:hint="eastAsia" w:ascii="宋体" w:hAnsi="宋体" w:eastAsia="宋体"/>
          <w:spacing w:val="-4"/>
          <w:szCs w:val="28"/>
          <w:lang w:val="zh-CN"/>
        </w:rPr>
        <w:t>充分利用中央、四川省环境保护和生态建设方面的相关财政专项资金，积极申报相关项目，例如中央农村环境保护专项资金、中央财政主要污染物减排专项资金、环保部门环境监察执法能力建设项目资金等相关专项资金。</w:t>
      </w:r>
      <w:r>
        <w:rPr>
          <w:rFonts w:hint="eastAsia" w:ascii="宋体" w:hAnsi="宋体" w:eastAsia="宋体"/>
          <w:spacing w:val="-4"/>
          <w:szCs w:val="28"/>
        </w:rPr>
        <w:t>加大对环境污染第三方治理、政府和社会资本合作模式的支持力度。完善绿色金融机制，支持经营类生态环境保护项目，促进市场化的污染治理与生态补偿机制建设，鼓励企业作为主体参与生态环境保护。</w:t>
      </w:r>
    </w:p>
    <w:p w14:paraId="688DE885">
      <w:pPr>
        <w:pStyle w:val="5"/>
        <w:spacing w:before="0" w:after="0" w:line="240" w:lineRule="auto"/>
        <w:ind w:firstLine="602" w:firstLineChars="200"/>
        <w:rPr>
          <w:rFonts w:ascii="仿宋" w:hAnsi="仿宋" w:eastAsia="仿宋"/>
        </w:rPr>
      </w:pPr>
      <w:bookmarkStart w:id="72" w:name="_Toc115020802"/>
      <w:bookmarkStart w:id="73" w:name="_Toc86050221"/>
      <w:r>
        <w:rPr>
          <w:rFonts w:hint="eastAsia" w:ascii="仿宋" w:hAnsi="仿宋" w:eastAsia="仿宋"/>
        </w:rPr>
        <w:t>（四）强化实施监督</w:t>
      </w:r>
      <w:bookmarkEnd w:id="66"/>
      <w:bookmarkEnd w:id="67"/>
      <w:bookmarkEnd w:id="72"/>
      <w:bookmarkEnd w:id="73"/>
    </w:p>
    <w:p w14:paraId="1BB56712">
      <w:pPr>
        <w:pStyle w:val="51"/>
        <w:spacing w:line="240" w:lineRule="auto"/>
        <w:ind w:firstLine="562"/>
        <w:rPr>
          <w:rFonts w:asciiTheme="majorEastAsia" w:hAnsiTheme="majorEastAsia" w:eastAsiaTheme="majorEastAsia"/>
          <w:b/>
          <w:sz w:val="28"/>
          <w:szCs w:val="28"/>
        </w:rPr>
      </w:pPr>
      <w:bookmarkStart w:id="74" w:name="_Toc68131370"/>
      <w:bookmarkStart w:id="75" w:name="_Toc67440583"/>
      <w:r>
        <w:rPr>
          <w:rFonts w:asciiTheme="majorEastAsia" w:hAnsiTheme="majorEastAsia" w:eastAsiaTheme="majorEastAsia"/>
          <w:b/>
          <w:sz w:val="28"/>
          <w:szCs w:val="28"/>
        </w:rPr>
        <w:t>1</w:t>
      </w:r>
      <w:r>
        <w:rPr>
          <w:rFonts w:hint="eastAsia" w:asciiTheme="majorEastAsia" w:hAnsiTheme="majorEastAsia" w:eastAsiaTheme="majorEastAsia"/>
          <w:b/>
          <w:sz w:val="28"/>
          <w:szCs w:val="28"/>
        </w:rPr>
        <w:t>、建立考核评估制度</w:t>
      </w:r>
      <w:bookmarkEnd w:id="74"/>
      <w:bookmarkEnd w:id="75"/>
    </w:p>
    <w:p w14:paraId="6C249493">
      <w:pPr>
        <w:widowControl w:val="0"/>
        <w:topLinePunct/>
        <w:adjustRightInd w:val="0"/>
        <w:snapToGrid w:val="0"/>
        <w:spacing w:line="560" w:lineRule="exact"/>
        <w:ind w:firstLine="544" w:firstLineChars="200"/>
        <w:rPr>
          <w:rFonts w:ascii="宋体" w:hAnsi="宋体" w:eastAsia="宋体"/>
          <w:spacing w:val="-4"/>
          <w:szCs w:val="28"/>
          <w:lang w:val="zh-CN"/>
        </w:rPr>
      </w:pPr>
      <w:r>
        <w:rPr>
          <w:rFonts w:hint="eastAsia" w:ascii="宋体" w:hAnsi="宋体" w:eastAsia="宋体"/>
          <w:spacing w:val="-4"/>
          <w:szCs w:val="28"/>
          <w:lang w:val="zh-CN"/>
        </w:rPr>
        <w:t>建立规划实施过程中的评估验收、监督、考核机制，包括时间上的过程监督、阶段评估、最后总结验收；内容上包括规划所列的全部任务目标；手段上采用法律、民主监督和纪检监督。为了便于细化监督，将任务目标分解到各政府组成部门，各级政府及政府组成部门根据各自职能进一步细化任务目标，制定每一年度的详细实施方案，做到目标责任到部门、到人员。对于不能按计划完成的要及时采取措施，以确保规划的顺利实施。</w:t>
      </w:r>
    </w:p>
    <w:p w14:paraId="236F2914">
      <w:pPr>
        <w:pStyle w:val="51"/>
        <w:spacing w:line="240" w:lineRule="auto"/>
        <w:ind w:firstLine="562"/>
        <w:rPr>
          <w:rFonts w:asciiTheme="majorEastAsia" w:hAnsiTheme="majorEastAsia" w:eastAsiaTheme="majorEastAsia"/>
          <w:b/>
          <w:sz w:val="28"/>
          <w:szCs w:val="28"/>
        </w:rPr>
      </w:pPr>
      <w:bookmarkStart w:id="76" w:name="_Toc67440584"/>
      <w:bookmarkStart w:id="77" w:name="_Toc68131371"/>
      <w:r>
        <w:rPr>
          <w:rFonts w:asciiTheme="majorEastAsia" w:hAnsiTheme="majorEastAsia" w:eastAsiaTheme="majorEastAsia"/>
          <w:b/>
          <w:sz w:val="28"/>
          <w:szCs w:val="28"/>
        </w:rPr>
        <w:t>2</w:t>
      </w:r>
      <w:r>
        <w:rPr>
          <w:rFonts w:hint="eastAsia" w:asciiTheme="majorEastAsia" w:hAnsiTheme="majorEastAsia" w:eastAsiaTheme="majorEastAsia"/>
          <w:b/>
          <w:sz w:val="28"/>
          <w:szCs w:val="28"/>
        </w:rPr>
        <w:t>、加大监督检查力度</w:t>
      </w:r>
      <w:bookmarkEnd w:id="76"/>
      <w:bookmarkEnd w:id="77"/>
    </w:p>
    <w:p w14:paraId="716F668F">
      <w:pPr>
        <w:widowControl w:val="0"/>
        <w:topLinePunct/>
        <w:adjustRightInd w:val="0"/>
        <w:snapToGrid w:val="0"/>
        <w:spacing w:line="560" w:lineRule="exact"/>
        <w:ind w:firstLine="544" w:firstLineChars="200"/>
        <w:rPr>
          <w:rFonts w:ascii="宋体" w:hAnsi="宋体" w:eastAsia="宋体"/>
          <w:spacing w:val="-4"/>
          <w:szCs w:val="28"/>
          <w:lang w:val="zh-CN"/>
        </w:rPr>
      </w:pPr>
      <w:r>
        <w:rPr>
          <w:rFonts w:hint="eastAsia" w:ascii="宋体" w:hAnsi="宋体" w:eastAsia="宋体"/>
          <w:spacing w:val="-4"/>
          <w:szCs w:val="28"/>
          <w:lang w:val="zh-CN"/>
        </w:rPr>
        <w:t>要结合实际，突出重点，加强对规划重点工程的监督。加强对规划执行情况的督促和检查，要定期组织人大代表开展重点工程进展和经济社会发展情况的调研活动，并针对存在的问题提出了相应的意见和建议，在人民代表大会上向全体代表汇报，使全体代表了解情况，履行职责，共同监督。监察部门要在规划实施过程中搞好全程监督和服务。纪检监察机关要充分调动政府部门的积极性，推动他们搞好自身的改革和建设，促进依法行政，从源头上堵塞体制、机制、制度和管理上存在的漏洞，加大规划实施的监督力度，为顺利推进规划实施提供有力保障，确保五年后全面完成规划目标任务。</w:t>
      </w:r>
    </w:p>
    <w:p w14:paraId="6DBA4EBB">
      <w:pPr>
        <w:pStyle w:val="51"/>
        <w:spacing w:line="240" w:lineRule="auto"/>
        <w:ind w:firstLine="562"/>
        <w:rPr>
          <w:rFonts w:asciiTheme="majorEastAsia" w:hAnsiTheme="majorEastAsia" w:eastAsiaTheme="majorEastAsia"/>
          <w:b/>
          <w:sz w:val="28"/>
          <w:szCs w:val="28"/>
        </w:rPr>
      </w:pPr>
      <w:bookmarkStart w:id="78" w:name="_Toc67440585"/>
      <w:bookmarkStart w:id="79" w:name="_Toc68131372"/>
      <w:r>
        <w:rPr>
          <w:rFonts w:asciiTheme="majorEastAsia" w:hAnsiTheme="majorEastAsia" w:eastAsiaTheme="majorEastAsia"/>
          <w:b/>
          <w:sz w:val="28"/>
          <w:szCs w:val="28"/>
        </w:rPr>
        <w:t>3</w:t>
      </w:r>
      <w:r>
        <w:rPr>
          <w:rFonts w:hint="eastAsia" w:asciiTheme="majorEastAsia" w:hAnsiTheme="majorEastAsia" w:eastAsiaTheme="majorEastAsia"/>
          <w:b/>
          <w:sz w:val="28"/>
          <w:szCs w:val="28"/>
        </w:rPr>
        <w:t>、加强规划执行考核</w:t>
      </w:r>
      <w:bookmarkEnd w:id="78"/>
      <w:bookmarkEnd w:id="79"/>
    </w:p>
    <w:p w14:paraId="1F4BDC96">
      <w:pPr>
        <w:widowControl w:val="0"/>
        <w:topLinePunct/>
        <w:adjustRightInd w:val="0"/>
        <w:snapToGrid w:val="0"/>
        <w:ind w:firstLine="544" w:firstLineChars="200"/>
        <w:rPr>
          <w:rFonts w:ascii="宋体" w:hAnsi="宋体" w:eastAsia="宋体"/>
          <w:spacing w:val="-4"/>
          <w:szCs w:val="28"/>
          <w:lang w:val="zh-CN"/>
        </w:rPr>
      </w:pPr>
      <w:r>
        <w:rPr>
          <w:rFonts w:hint="eastAsia" w:ascii="宋体" w:hAnsi="宋体" w:eastAsia="宋体"/>
          <w:spacing w:val="-4"/>
          <w:szCs w:val="28"/>
          <w:lang w:val="zh-CN"/>
        </w:rPr>
        <w:t>按照</w:t>
      </w:r>
      <w:r>
        <w:rPr>
          <w:rFonts w:hint="eastAsia" w:ascii="宋体" w:hAnsi="宋体" w:eastAsia="宋体" w:cs="宋体"/>
          <w:spacing w:val="-4"/>
          <w:szCs w:val="28"/>
          <w:lang w:val="zh-CN"/>
        </w:rPr>
        <w:t>县</w:t>
      </w:r>
      <w:r>
        <w:rPr>
          <w:rFonts w:hint="eastAsia" w:ascii="宋体" w:hAnsi="宋体" w:eastAsia="宋体"/>
          <w:spacing w:val="-4"/>
          <w:szCs w:val="28"/>
          <w:lang w:val="zh-CN"/>
        </w:rPr>
        <w:t>规划领导小组工作安排，积极组织对规划的环境质量和生态保护建设目标，主要领域的环境保护任务和重点区域环境保护目标任务进行考核，具体分为中期和终期两个时段，</w:t>
      </w:r>
      <w:r>
        <w:rPr>
          <w:rFonts w:ascii="宋体" w:hAnsi="宋体" w:eastAsia="宋体"/>
          <w:spacing w:val="-4"/>
          <w:szCs w:val="28"/>
          <w:lang w:val="zh-CN"/>
        </w:rPr>
        <w:t>2023</w:t>
      </w:r>
      <w:r>
        <w:rPr>
          <w:rFonts w:hint="eastAsia" w:ascii="宋体" w:hAnsi="宋体" w:eastAsia="宋体"/>
          <w:spacing w:val="-4"/>
          <w:szCs w:val="28"/>
          <w:lang w:val="zh-CN"/>
        </w:rPr>
        <w:t>年</w:t>
      </w:r>
      <w:r>
        <w:rPr>
          <w:rFonts w:ascii="宋体" w:hAnsi="宋体" w:eastAsia="宋体"/>
          <w:spacing w:val="-4"/>
          <w:szCs w:val="28"/>
          <w:lang w:val="zh-CN"/>
        </w:rPr>
        <w:t>12</w:t>
      </w:r>
      <w:r>
        <w:rPr>
          <w:rFonts w:hint="eastAsia" w:ascii="宋体" w:hAnsi="宋体" w:eastAsia="宋体"/>
          <w:spacing w:val="-4"/>
          <w:szCs w:val="28"/>
          <w:lang w:val="zh-CN"/>
        </w:rPr>
        <w:t>月底进行中期评估和考核，并根据形势的发展，对规划目标及项目进行合理调整；</w:t>
      </w:r>
      <w:r>
        <w:rPr>
          <w:rFonts w:ascii="宋体" w:hAnsi="宋体" w:eastAsia="宋体"/>
          <w:spacing w:val="-4"/>
          <w:szCs w:val="28"/>
          <w:lang w:val="zh-CN"/>
        </w:rPr>
        <w:t>2025</w:t>
      </w:r>
      <w:r>
        <w:rPr>
          <w:rFonts w:hint="eastAsia" w:ascii="宋体" w:hAnsi="宋体" w:eastAsia="宋体"/>
          <w:spacing w:val="-4"/>
          <w:szCs w:val="28"/>
          <w:lang w:val="zh-CN"/>
        </w:rPr>
        <w:t>年</w:t>
      </w:r>
      <w:r>
        <w:rPr>
          <w:rFonts w:ascii="宋体" w:hAnsi="宋体" w:eastAsia="宋体"/>
          <w:spacing w:val="-4"/>
          <w:szCs w:val="28"/>
          <w:lang w:val="zh-CN"/>
        </w:rPr>
        <w:t>12</w:t>
      </w:r>
      <w:r>
        <w:rPr>
          <w:rFonts w:hint="eastAsia" w:ascii="宋体" w:hAnsi="宋体" w:eastAsia="宋体"/>
          <w:spacing w:val="-4"/>
          <w:szCs w:val="28"/>
          <w:lang w:val="zh-CN"/>
        </w:rPr>
        <w:t>月底开展终期评估和考核。</w:t>
      </w:r>
    </w:p>
    <w:p w14:paraId="681EBB48">
      <w:pPr>
        <w:pStyle w:val="5"/>
        <w:spacing w:before="0" w:after="0" w:line="240" w:lineRule="auto"/>
        <w:ind w:firstLine="602" w:firstLineChars="200"/>
        <w:rPr>
          <w:rFonts w:ascii="仿宋" w:hAnsi="仿宋" w:eastAsia="仿宋"/>
        </w:rPr>
      </w:pPr>
      <w:bookmarkStart w:id="80" w:name="_Toc115020803"/>
      <w:r>
        <w:rPr>
          <w:rFonts w:hint="eastAsia" w:ascii="仿宋" w:hAnsi="仿宋" w:eastAsia="仿宋"/>
        </w:rPr>
        <w:t>（五）加强</w:t>
      </w:r>
      <w:r>
        <w:rPr>
          <w:rFonts w:ascii="仿宋" w:hAnsi="仿宋" w:eastAsia="仿宋"/>
        </w:rPr>
        <w:t>区域合作</w:t>
      </w:r>
      <w:bookmarkEnd w:id="80"/>
    </w:p>
    <w:p w14:paraId="1B992164">
      <w:pPr>
        <w:widowControl w:val="0"/>
        <w:topLinePunct/>
        <w:adjustRightInd w:val="0"/>
        <w:snapToGrid w:val="0"/>
        <w:spacing w:line="560" w:lineRule="exact"/>
        <w:ind w:firstLine="544" w:firstLineChars="200"/>
        <w:rPr>
          <w:rFonts w:ascii="宋体" w:hAnsi="宋体" w:eastAsia="宋体"/>
          <w:spacing w:val="-4"/>
          <w:szCs w:val="28"/>
          <w:lang w:val="zh-CN"/>
        </w:rPr>
      </w:pPr>
      <w:r>
        <w:rPr>
          <w:rFonts w:hint="eastAsia" w:ascii="宋体" w:hAnsi="宋体" w:eastAsia="宋体"/>
          <w:spacing w:val="-4"/>
          <w:szCs w:val="28"/>
          <w:lang w:val="zh-CN"/>
        </w:rPr>
        <w:t>探索创新协同治理、合作共建、利益分享、激励考核等机制，积极参与长江经济带生态环境保护治理体系建设，健全区域流域联防联控机制，促进区域生态环境协同治理。通过数据分析和共享，促进各级生态环境部门之间及与其他管理部门的信息沟通与交流，密切配合，综合推动生态环境治理理念的双向沟通、技术水平、监管效能和预警能力提升，协同推进经济高质量发展和生态环境高水平保护。</w:t>
      </w:r>
    </w:p>
    <w:sectPr>
      <w:footerReference r:id="rId9" w:type="default"/>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汉仪中宋简">
    <w:altName w:val="宋体"/>
    <w:panose1 w:val="02010600000101010101"/>
    <w:charset w:val="86"/>
    <w:family w:val="auto"/>
    <w:pitch w:val="default"/>
    <w:sig w:usb0="00000000" w:usb1="00000000" w:usb2="00000002"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B0751">
    <w:pPr>
      <w:pStyle w:val="16"/>
      <w:jc w:val="center"/>
    </w:pPr>
  </w:p>
  <w:p w14:paraId="17056D1E">
    <w:pPr>
      <w:pStyle w:val="16"/>
      <w:ind w:left="280" w:leftChars="100" w:right="280" w:rightChars="100"/>
      <w:jc w:val="right"/>
      <w:rPr>
        <w:rFonts w:asci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3F866">
    <w:pPr>
      <w:pStyle w:val="16"/>
      <w:tabs>
        <w:tab w:val="left" w:pos="2255"/>
        <w:tab w:val="clear" w:pos="4153"/>
        <w:tab w:val="clear" w:pos="8306"/>
      </w:tabs>
      <w:ind w:left="280" w:leftChars="100" w:right="280" w:rightChars="100"/>
      <w:rPr>
        <w:rFonts w:ascii="宋体"/>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18</w:t>
    </w:r>
    <w:r>
      <w:rPr>
        <w:rFonts w:ascii="宋体" w:hAnsi="宋体"/>
        <w:sz w:val="28"/>
        <w:szCs w:val="28"/>
      </w:rPr>
      <w:fldChar w:fldCharType="end"/>
    </w:r>
    <w:r>
      <w:rPr>
        <w:rFonts w:ascii="宋体" w:hAnsi="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1754E">
    <w:pPr>
      <w:pStyle w:val="16"/>
      <w:ind w:left="280" w:leftChars="100" w:right="280" w:rightChars="100"/>
      <w:jc w:val="right"/>
      <w:rPr>
        <w:rFonts w:ascii="宋体"/>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ascii="宋体" w:hAnsi="宋体"/>
        <w:sz w:val="28"/>
        <w:szCs w:val="2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8DDDD">
    <w:pPr>
      <w:pStyle w:val="16"/>
      <w:jc w:val="center"/>
    </w:pPr>
  </w:p>
  <w:p w14:paraId="78281AD4">
    <w:pPr>
      <w:pStyle w:val="16"/>
      <w:ind w:left="280" w:leftChars="100" w:right="280" w:rightChars="100"/>
      <w:jc w:val="right"/>
      <w:rPr>
        <w:rFonts w:ascii="宋体"/>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175787"/>
      <w:docPartObj>
        <w:docPartGallery w:val="autotext"/>
      </w:docPartObj>
    </w:sdtPr>
    <w:sdtContent>
      <w:p w14:paraId="3B21E479">
        <w:pPr>
          <w:pStyle w:val="16"/>
          <w:jc w:val="center"/>
        </w:pPr>
        <w:r>
          <w:fldChar w:fldCharType="begin"/>
        </w:r>
        <w:r>
          <w:instrText xml:space="preserve"> PAGE   \* MERGEFORMAT </w:instrText>
        </w:r>
        <w:r>
          <w:fldChar w:fldCharType="separate"/>
        </w:r>
        <w:r>
          <w:rPr>
            <w:lang w:val="zh-CN"/>
          </w:rPr>
          <w:t>2</w:t>
        </w:r>
        <w:r>
          <w:rPr>
            <w:lang w:val="zh-CN"/>
          </w:rPr>
          <w:fldChar w:fldCharType="end"/>
        </w:r>
      </w:p>
    </w:sdtContent>
  </w:sdt>
  <w:p w14:paraId="63A7F667">
    <w:pPr>
      <w:pStyle w:val="16"/>
      <w:ind w:left="280" w:leftChars="100" w:right="280" w:rightChars="100"/>
      <w:jc w:val="right"/>
      <w:rPr>
        <w:rFonts w:ascii="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72B613"/>
    <w:multiLevelType w:val="singleLevel"/>
    <w:tmpl w:val="EC72B613"/>
    <w:lvl w:ilvl="0" w:tentative="0">
      <w:start w:val="3"/>
      <w:numFmt w:val="decimal"/>
      <w:suff w:val="nothing"/>
      <w:lvlText w:val="%1、"/>
      <w:lvlJc w:val="left"/>
    </w:lvl>
  </w:abstractNum>
  <w:abstractNum w:abstractNumId="1">
    <w:nsid w:val="0D6E6F64"/>
    <w:multiLevelType w:val="singleLevel"/>
    <w:tmpl w:val="0D6E6F64"/>
    <w:lvl w:ilvl="0" w:tentative="0">
      <w:start w:val="7"/>
      <w:numFmt w:val="chineseCounting"/>
      <w:suff w:val="nothing"/>
      <w:lvlText w:val="（%1）"/>
      <w:lvlJc w:val="left"/>
      <w:rPr>
        <w:rFonts w:hint="eastAsia"/>
      </w:rPr>
    </w:lvl>
  </w:abstractNum>
  <w:abstractNum w:abstractNumId="2">
    <w:nsid w:val="2F284246"/>
    <w:multiLevelType w:val="singleLevel"/>
    <w:tmpl w:val="2F284246"/>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1F2"/>
    <w:rsid w:val="00001758"/>
    <w:rsid w:val="00002022"/>
    <w:rsid w:val="00003F6A"/>
    <w:rsid w:val="00007806"/>
    <w:rsid w:val="0001499F"/>
    <w:rsid w:val="00021153"/>
    <w:rsid w:val="000212F6"/>
    <w:rsid w:val="00025F3C"/>
    <w:rsid w:val="0003253C"/>
    <w:rsid w:val="000333F8"/>
    <w:rsid w:val="00036416"/>
    <w:rsid w:val="00037EF4"/>
    <w:rsid w:val="0007636D"/>
    <w:rsid w:val="00080CBF"/>
    <w:rsid w:val="00081BE3"/>
    <w:rsid w:val="00094668"/>
    <w:rsid w:val="000A00D3"/>
    <w:rsid w:val="000B51EC"/>
    <w:rsid w:val="000D2E04"/>
    <w:rsid w:val="000D6C33"/>
    <w:rsid w:val="000E786C"/>
    <w:rsid w:val="000F2DF2"/>
    <w:rsid w:val="000F5964"/>
    <w:rsid w:val="001011AC"/>
    <w:rsid w:val="001072EF"/>
    <w:rsid w:val="001163E6"/>
    <w:rsid w:val="001217EA"/>
    <w:rsid w:val="00144F82"/>
    <w:rsid w:val="00145F37"/>
    <w:rsid w:val="00151202"/>
    <w:rsid w:val="0016386A"/>
    <w:rsid w:val="00167280"/>
    <w:rsid w:val="001701E7"/>
    <w:rsid w:val="001877BF"/>
    <w:rsid w:val="0019206F"/>
    <w:rsid w:val="00197B6E"/>
    <w:rsid w:val="001A5C27"/>
    <w:rsid w:val="001A7E06"/>
    <w:rsid w:val="001B4D72"/>
    <w:rsid w:val="001B74E4"/>
    <w:rsid w:val="001C50AD"/>
    <w:rsid w:val="001D43BA"/>
    <w:rsid w:val="001E5678"/>
    <w:rsid w:val="001F37D7"/>
    <w:rsid w:val="001F5D09"/>
    <w:rsid w:val="00201498"/>
    <w:rsid w:val="00202222"/>
    <w:rsid w:val="002026EB"/>
    <w:rsid w:val="00216C85"/>
    <w:rsid w:val="0023257D"/>
    <w:rsid w:val="00234C29"/>
    <w:rsid w:val="00235319"/>
    <w:rsid w:val="0023660C"/>
    <w:rsid w:val="00251983"/>
    <w:rsid w:val="00251E56"/>
    <w:rsid w:val="00252533"/>
    <w:rsid w:val="00254BF6"/>
    <w:rsid w:val="00261724"/>
    <w:rsid w:val="00275E66"/>
    <w:rsid w:val="00296559"/>
    <w:rsid w:val="00296814"/>
    <w:rsid w:val="002A2E89"/>
    <w:rsid w:val="002A3E39"/>
    <w:rsid w:val="002A4882"/>
    <w:rsid w:val="002B5DAD"/>
    <w:rsid w:val="002C5629"/>
    <w:rsid w:val="002D0151"/>
    <w:rsid w:val="002E129C"/>
    <w:rsid w:val="002E1DD4"/>
    <w:rsid w:val="002E3FBC"/>
    <w:rsid w:val="002E63AB"/>
    <w:rsid w:val="002F2B07"/>
    <w:rsid w:val="002F77E1"/>
    <w:rsid w:val="0031242E"/>
    <w:rsid w:val="00320A04"/>
    <w:rsid w:val="00322CDA"/>
    <w:rsid w:val="00325182"/>
    <w:rsid w:val="00327D89"/>
    <w:rsid w:val="003304E3"/>
    <w:rsid w:val="00331C84"/>
    <w:rsid w:val="00335FBF"/>
    <w:rsid w:val="003405AD"/>
    <w:rsid w:val="00342D79"/>
    <w:rsid w:val="00344EA3"/>
    <w:rsid w:val="00353783"/>
    <w:rsid w:val="003567C7"/>
    <w:rsid w:val="00356EA6"/>
    <w:rsid w:val="00371B1F"/>
    <w:rsid w:val="00372BAF"/>
    <w:rsid w:val="00372BCE"/>
    <w:rsid w:val="00373924"/>
    <w:rsid w:val="00375353"/>
    <w:rsid w:val="003760E8"/>
    <w:rsid w:val="003A1720"/>
    <w:rsid w:val="003A707A"/>
    <w:rsid w:val="003D4818"/>
    <w:rsid w:val="003D497F"/>
    <w:rsid w:val="003D6C34"/>
    <w:rsid w:val="003D6DC9"/>
    <w:rsid w:val="003E6B8A"/>
    <w:rsid w:val="003F7705"/>
    <w:rsid w:val="00401E80"/>
    <w:rsid w:val="00414227"/>
    <w:rsid w:val="00416E7C"/>
    <w:rsid w:val="00420754"/>
    <w:rsid w:val="0042117E"/>
    <w:rsid w:val="00425A1B"/>
    <w:rsid w:val="004260FD"/>
    <w:rsid w:val="004318EF"/>
    <w:rsid w:val="00435717"/>
    <w:rsid w:val="00442A17"/>
    <w:rsid w:val="00442A26"/>
    <w:rsid w:val="00444D8E"/>
    <w:rsid w:val="00447034"/>
    <w:rsid w:val="0044730B"/>
    <w:rsid w:val="00462A9B"/>
    <w:rsid w:val="004760EE"/>
    <w:rsid w:val="00476E96"/>
    <w:rsid w:val="0047758A"/>
    <w:rsid w:val="00484414"/>
    <w:rsid w:val="004864EA"/>
    <w:rsid w:val="0049777F"/>
    <w:rsid w:val="004A1042"/>
    <w:rsid w:val="004A4291"/>
    <w:rsid w:val="004A678E"/>
    <w:rsid w:val="004B100A"/>
    <w:rsid w:val="004C15F8"/>
    <w:rsid w:val="004C17C3"/>
    <w:rsid w:val="004C18AD"/>
    <w:rsid w:val="004C4A0F"/>
    <w:rsid w:val="004C51EB"/>
    <w:rsid w:val="004C5266"/>
    <w:rsid w:val="004E07EF"/>
    <w:rsid w:val="004E2AF0"/>
    <w:rsid w:val="004E41C2"/>
    <w:rsid w:val="004F50B3"/>
    <w:rsid w:val="004F7F76"/>
    <w:rsid w:val="005142D1"/>
    <w:rsid w:val="00534156"/>
    <w:rsid w:val="005349A8"/>
    <w:rsid w:val="0053743A"/>
    <w:rsid w:val="00541448"/>
    <w:rsid w:val="005446B1"/>
    <w:rsid w:val="005459C3"/>
    <w:rsid w:val="00545B2C"/>
    <w:rsid w:val="00553F91"/>
    <w:rsid w:val="00554DFD"/>
    <w:rsid w:val="00580160"/>
    <w:rsid w:val="00585789"/>
    <w:rsid w:val="0059023E"/>
    <w:rsid w:val="005A38F6"/>
    <w:rsid w:val="005B64E9"/>
    <w:rsid w:val="005B7D83"/>
    <w:rsid w:val="005C0D39"/>
    <w:rsid w:val="005C1B36"/>
    <w:rsid w:val="005C2019"/>
    <w:rsid w:val="005C6004"/>
    <w:rsid w:val="005D416E"/>
    <w:rsid w:val="005D5BCB"/>
    <w:rsid w:val="005E11DB"/>
    <w:rsid w:val="005E18E9"/>
    <w:rsid w:val="005F3528"/>
    <w:rsid w:val="005F7570"/>
    <w:rsid w:val="00611D5A"/>
    <w:rsid w:val="00624C9C"/>
    <w:rsid w:val="00624DB3"/>
    <w:rsid w:val="00624FAB"/>
    <w:rsid w:val="00634ECD"/>
    <w:rsid w:val="00656E17"/>
    <w:rsid w:val="006612F0"/>
    <w:rsid w:val="006716D2"/>
    <w:rsid w:val="0068004D"/>
    <w:rsid w:val="00684A3F"/>
    <w:rsid w:val="0068576D"/>
    <w:rsid w:val="0068650E"/>
    <w:rsid w:val="00691560"/>
    <w:rsid w:val="006A330D"/>
    <w:rsid w:val="006C5392"/>
    <w:rsid w:val="006C6E51"/>
    <w:rsid w:val="006D0C75"/>
    <w:rsid w:val="006D1B02"/>
    <w:rsid w:val="006D265A"/>
    <w:rsid w:val="006D5402"/>
    <w:rsid w:val="006D6069"/>
    <w:rsid w:val="006E382D"/>
    <w:rsid w:val="006E563F"/>
    <w:rsid w:val="006E5653"/>
    <w:rsid w:val="006F5B4C"/>
    <w:rsid w:val="00705E48"/>
    <w:rsid w:val="0071352A"/>
    <w:rsid w:val="007272F6"/>
    <w:rsid w:val="00742947"/>
    <w:rsid w:val="007466FE"/>
    <w:rsid w:val="00747F62"/>
    <w:rsid w:val="00751489"/>
    <w:rsid w:val="00752871"/>
    <w:rsid w:val="00753C1F"/>
    <w:rsid w:val="007558F1"/>
    <w:rsid w:val="00762089"/>
    <w:rsid w:val="007701F1"/>
    <w:rsid w:val="00770752"/>
    <w:rsid w:val="00780DEC"/>
    <w:rsid w:val="007825A7"/>
    <w:rsid w:val="0078568A"/>
    <w:rsid w:val="00786CEF"/>
    <w:rsid w:val="0079536F"/>
    <w:rsid w:val="00796A2F"/>
    <w:rsid w:val="00796F7D"/>
    <w:rsid w:val="007C00B2"/>
    <w:rsid w:val="007C1C9A"/>
    <w:rsid w:val="007C2486"/>
    <w:rsid w:val="007D1C3D"/>
    <w:rsid w:val="007D5C63"/>
    <w:rsid w:val="007F3AC6"/>
    <w:rsid w:val="007F42C1"/>
    <w:rsid w:val="00817C2B"/>
    <w:rsid w:val="008238FB"/>
    <w:rsid w:val="00830E3A"/>
    <w:rsid w:val="008469BA"/>
    <w:rsid w:val="008547B6"/>
    <w:rsid w:val="00874EE0"/>
    <w:rsid w:val="00875283"/>
    <w:rsid w:val="00877092"/>
    <w:rsid w:val="00884EC3"/>
    <w:rsid w:val="00894B78"/>
    <w:rsid w:val="00895253"/>
    <w:rsid w:val="00896215"/>
    <w:rsid w:val="008B166B"/>
    <w:rsid w:val="008D4EED"/>
    <w:rsid w:val="008D60C9"/>
    <w:rsid w:val="008D6EAD"/>
    <w:rsid w:val="008E4A89"/>
    <w:rsid w:val="008E6E79"/>
    <w:rsid w:val="008E76FD"/>
    <w:rsid w:val="00915931"/>
    <w:rsid w:val="00916C20"/>
    <w:rsid w:val="00925551"/>
    <w:rsid w:val="00931477"/>
    <w:rsid w:val="0093191F"/>
    <w:rsid w:val="00936858"/>
    <w:rsid w:val="0093763B"/>
    <w:rsid w:val="00953409"/>
    <w:rsid w:val="00957161"/>
    <w:rsid w:val="00962532"/>
    <w:rsid w:val="00965783"/>
    <w:rsid w:val="00971031"/>
    <w:rsid w:val="00974EB7"/>
    <w:rsid w:val="00977AC5"/>
    <w:rsid w:val="00983E29"/>
    <w:rsid w:val="00985965"/>
    <w:rsid w:val="00986601"/>
    <w:rsid w:val="00993AA2"/>
    <w:rsid w:val="009A7519"/>
    <w:rsid w:val="009B0DD1"/>
    <w:rsid w:val="009B6582"/>
    <w:rsid w:val="009B7D62"/>
    <w:rsid w:val="009C1245"/>
    <w:rsid w:val="009C4D27"/>
    <w:rsid w:val="009C5AC2"/>
    <w:rsid w:val="009D530A"/>
    <w:rsid w:val="009E495E"/>
    <w:rsid w:val="009E56D1"/>
    <w:rsid w:val="009E5877"/>
    <w:rsid w:val="009F401B"/>
    <w:rsid w:val="00A07360"/>
    <w:rsid w:val="00A15662"/>
    <w:rsid w:val="00A30642"/>
    <w:rsid w:val="00A4173E"/>
    <w:rsid w:val="00A43052"/>
    <w:rsid w:val="00A44785"/>
    <w:rsid w:val="00A45DAC"/>
    <w:rsid w:val="00A51497"/>
    <w:rsid w:val="00A5686A"/>
    <w:rsid w:val="00A65AD3"/>
    <w:rsid w:val="00A7460E"/>
    <w:rsid w:val="00A85F5C"/>
    <w:rsid w:val="00A92CC2"/>
    <w:rsid w:val="00A95B3D"/>
    <w:rsid w:val="00AA3B00"/>
    <w:rsid w:val="00AA6F70"/>
    <w:rsid w:val="00AA7616"/>
    <w:rsid w:val="00AC0F93"/>
    <w:rsid w:val="00AC1AED"/>
    <w:rsid w:val="00AC7680"/>
    <w:rsid w:val="00AC7C93"/>
    <w:rsid w:val="00AD0A74"/>
    <w:rsid w:val="00AD3D82"/>
    <w:rsid w:val="00AD446E"/>
    <w:rsid w:val="00AD6E6C"/>
    <w:rsid w:val="00AD7412"/>
    <w:rsid w:val="00AE2076"/>
    <w:rsid w:val="00AE2FD5"/>
    <w:rsid w:val="00AE7F6A"/>
    <w:rsid w:val="00AF66AD"/>
    <w:rsid w:val="00AF6835"/>
    <w:rsid w:val="00B07AE2"/>
    <w:rsid w:val="00B109A2"/>
    <w:rsid w:val="00B13A2D"/>
    <w:rsid w:val="00B20BFC"/>
    <w:rsid w:val="00B40096"/>
    <w:rsid w:val="00B57D95"/>
    <w:rsid w:val="00B61970"/>
    <w:rsid w:val="00B6355B"/>
    <w:rsid w:val="00B724E1"/>
    <w:rsid w:val="00B755A3"/>
    <w:rsid w:val="00B80B99"/>
    <w:rsid w:val="00B877CF"/>
    <w:rsid w:val="00B90B66"/>
    <w:rsid w:val="00B90E7E"/>
    <w:rsid w:val="00B95293"/>
    <w:rsid w:val="00B95A0B"/>
    <w:rsid w:val="00BB700F"/>
    <w:rsid w:val="00BC01B7"/>
    <w:rsid w:val="00BC04DD"/>
    <w:rsid w:val="00BC0D33"/>
    <w:rsid w:val="00BC339A"/>
    <w:rsid w:val="00BC548F"/>
    <w:rsid w:val="00BD1B2D"/>
    <w:rsid w:val="00BD22FE"/>
    <w:rsid w:val="00BF2E81"/>
    <w:rsid w:val="00BF3686"/>
    <w:rsid w:val="00C05C61"/>
    <w:rsid w:val="00C2407D"/>
    <w:rsid w:val="00C2411B"/>
    <w:rsid w:val="00C25336"/>
    <w:rsid w:val="00C260FB"/>
    <w:rsid w:val="00C2752B"/>
    <w:rsid w:val="00C34CAF"/>
    <w:rsid w:val="00C50F1B"/>
    <w:rsid w:val="00C51AD0"/>
    <w:rsid w:val="00C643DA"/>
    <w:rsid w:val="00C64F6C"/>
    <w:rsid w:val="00C86BA3"/>
    <w:rsid w:val="00C933B4"/>
    <w:rsid w:val="00C93B72"/>
    <w:rsid w:val="00C9648E"/>
    <w:rsid w:val="00C965FD"/>
    <w:rsid w:val="00C97294"/>
    <w:rsid w:val="00CB05B3"/>
    <w:rsid w:val="00CB0A25"/>
    <w:rsid w:val="00CB2084"/>
    <w:rsid w:val="00CB78E3"/>
    <w:rsid w:val="00CB7A57"/>
    <w:rsid w:val="00CD2672"/>
    <w:rsid w:val="00CD4BD0"/>
    <w:rsid w:val="00CD7356"/>
    <w:rsid w:val="00CE12E7"/>
    <w:rsid w:val="00CE3259"/>
    <w:rsid w:val="00CF21B8"/>
    <w:rsid w:val="00D011BF"/>
    <w:rsid w:val="00D01D54"/>
    <w:rsid w:val="00D16BBD"/>
    <w:rsid w:val="00D25BF5"/>
    <w:rsid w:val="00D55C87"/>
    <w:rsid w:val="00D56849"/>
    <w:rsid w:val="00D573E6"/>
    <w:rsid w:val="00D61221"/>
    <w:rsid w:val="00D62599"/>
    <w:rsid w:val="00D62BF0"/>
    <w:rsid w:val="00D657D3"/>
    <w:rsid w:val="00D71630"/>
    <w:rsid w:val="00D735C7"/>
    <w:rsid w:val="00D76ABA"/>
    <w:rsid w:val="00D82354"/>
    <w:rsid w:val="00D9176D"/>
    <w:rsid w:val="00D92886"/>
    <w:rsid w:val="00D93E4B"/>
    <w:rsid w:val="00D96850"/>
    <w:rsid w:val="00DB1DA1"/>
    <w:rsid w:val="00DB44A3"/>
    <w:rsid w:val="00DC0AFE"/>
    <w:rsid w:val="00DC102C"/>
    <w:rsid w:val="00DC552E"/>
    <w:rsid w:val="00DD363A"/>
    <w:rsid w:val="00DE2E24"/>
    <w:rsid w:val="00DF3CBE"/>
    <w:rsid w:val="00E01F23"/>
    <w:rsid w:val="00E0799B"/>
    <w:rsid w:val="00E27E86"/>
    <w:rsid w:val="00E428EF"/>
    <w:rsid w:val="00E512F2"/>
    <w:rsid w:val="00E62399"/>
    <w:rsid w:val="00E63973"/>
    <w:rsid w:val="00E63E1C"/>
    <w:rsid w:val="00E74A78"/>
    <w:rsid w:val="00E90BFF"/>
    <w:rsid w:val="00EA0B04"/>
    <w:rsid w:val="00EA7EA5"/>
    <w:rsid w:val="00EB3366"/>
    <w:rsid w:val="00EB7205"/>
    <w:rsid w:val="00EC0EAA"/>
    <w:rsid w:val="00EC5D78"/>
    <w:rsid w:val="00EC7087"/>
    <w:rsid w:val="00ED6D3E"/>
    <w:rsid w:val="00EE1A17"/>
    <w:rsid w:val="00EE65EF"/>
    <w:rsid w:val="00EF0353"/>
    <w:rsid w:val="00F06170"/>
    <w:rsid w:val="00F10A94"/>
    <w:rsid w:val="00F1212A"/>
    <w:rsid w:val="00F26E38"/>
    <w:rsid w:val="00F3448E"/>
    <w:rsid w:val="00F34833"/>
    <w:rsid w:val="00F35DEE"/>
    <w:rsid w:val="00F450EE"/>
    <w:rsid w:val="00F50B18"/>
    <w:rsid w:val="00F70B1E"/>
    <w:rsid w:val="00F73EC1"/>
    <w:rsid w:val="00F832F3"/>
    <w:rsid w:val="00F97EDA"/>
    <w:rsid w:val="00FA52FE"/>
    <w:rsid w:val="00FA5E8A"/>
    <w:rsid w:val="00FA6032"/>
    <w:rsid w:val="00FA7B43"/>
    <w:rsid w:val="00FB32AB"/>
    <w:rsid w:val="00FC71F2"/>
    <w:rsid w:val="00FE5701"/>
    <w:rsid w:val="00FE5911"/>
    <w:rsid w:val="00FF6A7C"/>
    <w:rsid w:val="0449310E"/>
    <w:rsid w:val="06583861"/>
    <w:rsid w:val="0B214022"/>
    <w:rsid w:val="104E7664"/>
    <w:rsid w:val="12E73B58"/>
    <w:rsid w:val="132355B5"/>
    <w:rsid w:val="13BF35EB"/>
    <w:rsid w:val="148232CA"/>
    <w:rsid w:val="16CE6D2A"/>
    <w:rsid w:val="177C1C94"/>
    <w:rsid w:val="1D6C5D34"/>
    <w:rsid w:val="1E222E60"/>
    <w:rsid w:val="1F9C61F9"/>
    <w:rsid w:val="22082A14"/>
    <w:rsid w:val="27F72342"/>
    <w:rsid w:val="28542CDC"/>
    <w:rsid w:val="29A41A7B"/>
    <w:rsid w:val="2CAA5840"/>
    <w:rsid w:val="2E2408FE"/>
    <w:rsid w:val="2ED915C9"/>
    <w:rsid w:val="33971C63"/>
    <w:rsid w:val="339E7F1A"/>
    <w:rsid w:val="35C65DD3"/>
    <w:rsid w:val="37BD00C3"/>
    <w:rsid w:val="38651B0F"/>
    <w:rsid w:val="39965A16"/>
    <w:rsid w:val="39AE76A2"/>
    <w:rsid w:val="3C0F436B"/>
    <w:rsid w:val="3FD1334E"/>
    <w:rsid w:val="40D338F0"/>
    <w:rsid w:val="42C71B73"/>
    <w:rsid w:val="42FF31A2"/>
    <w:rsid w:val="4B103D18"/>
    <w:rsid w:val="5283643D"/>
    <w:rsid w:val="55F0365E"/>
    <w:rsid w:val="5AB85397"/>
    <w:rsid w:val="5B190621"/>
    <w:rsid w:val="5B6F285D"/>
    <w:rsid w:val="5FFE6CB7"/>
    <w:rsid w:val="61444A5F"/>
    <w:rsid w:val="632132D0"/>
    <w:rsid w:val="650744E8"/>
    <w:rsid w:val="666C27AD"/>
    <w:rsid w:val="668B029F"/>
    <w:rsid w:val="66FE792B"/>
    <w:rsid w:val="67F1308F"/>
    <w:rsid w:val="68280D6E"/>
    <w:rsid w:val="6A6E4E56"/>
    <w:rsid w:val="6E126D75"/>
    <w:rsid w:val="6E7C32EF"/>
    <w:rsid w:val="6F26138B"/>
    <w:rsid w:val="70376463"/>
    <w:rsid w:val="71663167"/>
    <w:rsid w:val="73666629"/>
    <w:rsid w:val="73AE41AB"/>
    <w:rsid w:val="783265A7"/>
    <w:rsid w:val="7B672C0A"/>
    <w:rsid w:val="7BD63FEC"/>
    <w:rsid w:val="7C0A2C05"/>
    <w:rsid w:val="7FA90F95"/>
    <w:rsid w:val="F2FB9B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iPriority="0" w:semiHidden="0" w:name="heading 4"/>
    <w:lsdException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qFormat="1" w:unhideWhenUsed="0" w:uiPriority="99" w:semiHidden="0"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jc w:val="both"/>
    </w:pPr>
    <w:rPr>
      <w:rFonts w:ascii="Times New Roman" w:hAnsi="Times New Roman" w:eastAsia="仿宋" w:cs="Times New Roman"/>
      <w:kern w:val="2"/>
      <w:sz w:val="28"/>
      <w:lang w:val="en-US" w:eastAsia="zh-CN" w:bidi="ar-SA"/>
    </w:rPr>
  </w:style>
  <w:style w:type="paragraph" w:styleId="4">
    <w:name w:val="heading 1"/>
    <w:basedOn w:val="1"/>
    <w:next w:val="1"/>
    <w:link w:val="38"/>
    <w:qFormat/>
    <w:uiPriority w:val="0"/>
    <w:pPr>
      <w:keepNext/>
      <w:keepLines/>
      <w:spacing w:before="240" w:after="60" w:line="240" w:lineRule="auto"/>
      <w:jc w:val="center"/>
      <w:outlineLvl w:val="0"/>
    </w:pPr>
    <w:rPr>
      <w:rFonts w:eastAsia="黑体"/>
      <w:b/>
      <w:bCs/>
      <w:kern w:val="44"/>
      <w:sz w:val="36"/>
      <w:szCs w:val="44"/>
    </w:rPr>
  </w:style>
  <w:style w:type="paragraph" w:styleId="5">
    <w:name w:val="heading 2"/>
    <w:basedOn w:val="1"/>
    <w:next w:val="1"/>
    <w:link w:val="39"/>
    <w:qFormat/>
    <w:uiPriority w:val="0"/>
    <w:pPr>
      <w:keepNext/>
      <w:keepLines/>
      <w:spacing w:before="360" w:after="240"/>
      <w:outlineLvl w:val="1"/>
    </w:pPr>
    <w:rPr>
      <w:rFonts w:eastAsia="黑体"/>
      <w:b/>
      <w:bCs/>
      <w:sz w:val="30"/>
      <w:szCs w:val="32"/>
    </w:rPr>
  </w:style>
  <w:style w:type="paragraph" w:styleId="6">
    <w:name w:val="heading 3"/>
    <w:basedOn w:val="1"/>
    <w:next w:val="1"/>
    <w:link w:val="40"/>
    <w:qFormat/>
    <w:uiPriority w:val="99"/>
    <w:pPr>
      <w:keepNext/>
      <w:keepLines/>
      <w:spacing w:before="240" w:after="180"/>
      <w:outlineLvl w:val="2"/>
    </w:pPr>
    <w:rPr>
      <w:rFonts w:eastAsia="黑体"/>
      <w:b/>
      <w:bCs/>
      <w:szCs w:val="32"/>
    </w:rPr>
  </w:style>
  <w:style w:type="paragraph" w:styleId="7">
    <w:name w:val="heading 4"/>
    <w:basedOn w:val="1"/>
    <w:next w:val="1"/>
    <w:link w:val="41"/>
    <w:unhideWhenUsed/>
    <w:qFormat/>
    <w:uiPriority w:val="0"/>
    <w:pPr>
      <w:keepNext/>
      <w:keepLines/>
      <w:spacing w:before="240" w:after="120"/>
      <w:outlineLvl w:val="3"/>
    </w:pPr>
    <w:rPr>
      <w:rFonts w:eastAsia="楷体"/>
      <w:b/>
      <w:bCs/>
      <w:szCs w:val="28"/>
    </w:rPr>
  </w:style>
  <w:style w:type="character" w:default="1" w:styleId="26">
    <w:name w:val="Default Paragraph Font"/>
    <w:semiHidden/>
    <w:unhideWhenUsed/>
    <w:uiPriority w:val="1"/>
  </w:style>
  <w:style w:type="table" w:default="1" w:styleId="24">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next w:val="1"/>
    <w:link w:val="60"/>
    <w:semiHidden/>
    <w:unhideWhenUsed/>
    <w:qFormat/>
    <w:uiPriority w:val="99"/>
    <w:pPr>
      <w:ind w:firstLine="420" w:firstLineChars="200"/>
    </w:pPr>
  </w:style>
  <w:style w:type="paragraph" w:styleId="3">
    <w:name w:val="Body Text Indent"/>
    <w:basedOn w:val="1"/>
    <w:link w:val="59"/>
    <w:semiHidden/>
    <w:unhideWhenUsed/>
    <w:qFormat/>
    <w:uiPriority w:val="99"/>
    <w:pPr>
      <w:spacing w:after="120"/>
      <w:ind w:left="420" w:leftChars="200"/>
    </w:pPr>
  </w:style>
  <w:style w:type="paragraph" w:styleId="8">
    <w:name w:val="Normal Indent"/>
    <w:basedOn w:val="1"/>
    <w:next w:val="9"/>
    <w:link w:val="61"/>
    <w:qFormat/>
    <w:uiPriority w:val="0"/>
    <w:pPr>
      <w:ind w:firstLine="420"/>
    </w:pPr>
    <w:rPr>
      <w:sz w:val="24"/>
    </w:rPr>
  </w:style>
  <w:style w:type="paragraph" w:styleId="9">
    <w:name w:val="Body Text"/>
    <w:basedOn w:val="1"/>
    <w:next w:val="1"/>
    <w:unhideWhenUsed/>
    <w:qFormat/>
    <w:uiPriority w:val="99"/>
    <w:pPr>
      <w:spacing w:after="120"/>
    </w:pPr>
  </w:style>
  <w:style w:type="paragraph" w:styleId="10">
    <w:name w:val="caption"/>
    <w:basedOn w:val="1"/>
    <w:next w:val="1"/>
    <w:unhideWhenUsed/>
    <w:qFormat/>
    <w:uiPriority w:val="35"/>
    <w:rPr>
      <w:rFonts w:eastAsia="黑体" w:asciiTheme="majorHAnsi" w:hAnsiTheme="majorHAnsi" w:cstheme="majorBidi"/>
      <w:sz w:val="20"/>
    </w:rPr>
  </w:style>
  <w:style w:type="paragraph" w:styleId="11">
    <w:name w:val="Document Map"/>
    <w:basedOn w:val="1"/>
    <w:link w:val="53"/>
    <w:semiHidden/>
    <w:unhideWhenUsed/>
    <w:qFormat/>
    <w:uiPriority w:val="99"/>
    <w:rPr>
      <w:rFonts w:ascii="宋体" w:eastAsia="宋体"/>
      <w:sz w:val="18"/>
      <w:szCs w:val="18"/>
    </w:rPr>
  </w:style>
  <w:style w:type="paragraph" w:styleId="12">
    <w:name w:val="annotation text"/>
    <w:basedOn w:val="1"/>
    <w:link w:val="46"/>
    <w:semiHidden/>
    <w:unhideWhenUsed/>
    <w:qFormat/>
    <w:uiPriority w:val="99"/>
    <w:pPr>
      <w:jc w:val="left"/>
    </w:pPr>
  </w:style>
  <w:style w:type="paragraph" w:styleId="13">
    <w:name w:val="Salutation"/>
    <w:basedOn w:val="1"/>
    <w:next w:val="1"/>
    <w:link w:val="62"/>
    <w:qFormat/>
    <w:uiPriority w:val="99"/>
  </w:style>
  <w:style w:type="paragraph" w:styleId="14">
    <w:name w:val="toc 3"/>
    <w:basedOn w:val="1"/>
    <w:next w:val="1"/>
    <w:unhideWhenUsed/>
    <w:qFormat/>
    <w:uiPriority w:val="39"/>
    <w:pPr>
      <w:ind w:left="840" w:leftChars="400"/>
    </w:pPr>
  </w:style>
  <w:style w:type="paragraph" w:styleId="15">
    <w:name w:val="Balloon Text"/>
    <w:basedOn w:val="1"/>
    <w:link w:val="44"/>
    <w:semiHidden/>
    <w:unhideWhenUsed/>
    <w:qFormat/>
    <w:uiPriority w:val="99"/>
    <w:pPr>
      <w:spacing w:line="240" w:lineRule="auto"/>
    </w:pPr>
    <w:rPr>
      <w:sz w:val="18"/>
      <w:szCs w:val="18"/>
    </w:rPr>
  </w:style>
  <w:style w:type="paragraph" w:styleId="16">
    <w:name w:val="footer"/>
    <w:basedOn w:val="1"/>
    <w:link w:val="43"/>
    <w:unhideWhenUsed/>
    <w:qFormat/>
    <w:uiPriority w:val="99"/>
    <w:pPr>
      <w:tabs>
        <w:tab w:val="center" w:pos="4153"/>
        <w:tab w:val="right" w:pos="8306"/>
      </w:tabs>
      <w:snapToGrid w:val="0"/>
      <w:spacing w:line="240" w:lineRule="auto"/>
      <w:jc w:val="left"/>
    </w:pPr>
    <w:rPr>
      <w:sz w:val="18"/>
      <w:szCs w:val="18"/>
    </w:rPr>
  </w:style>
  <w:style w:type="paragraph" w:styleId="17">
    <w:name w:val="header"/>
    <w:basedOn w:val="1"/>
    <w:link w:val="42"/>
    <w:unhideWhenUsed/>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8">
    <w:name w:val="toc 1"/>
    <w:basedOn w:val="1"/>
    <w:next w:val="1"/>
    <w:unhideWhenUsed/>
    <w:qFormat/>
    <w:uiPriority w:val="39"/>
  </w:style>
  <w:style w:type="paragraph" w:styleId="19">
    <w:name w:val="table of figures"/>
    <w:basedOn w:val="1"/>
    <w:next w:val="1"/>
    <w:unhideWhenUsed/>
    <w:qFormat/>
    <w:uiPriority w:val="99"/>
    <w:pPr>
      <w:ind w:left="200" w:leftChars="200" w:hanging="200" w:hangingChars="200"/>
    </w:pPr>
  </w:style>
  <w:style w:type="paragraph" w:styleId="20">
    <w:name w:val="toc 2"/>
    <w:basedOn w:val="1"/>
    <w:next w:val="1"/>
    <w:unhideWhenUsed/>
    <w:qFormat/>
    <w:uiPriority w:val="39"/>
    <w:pPr>
      <w:ind w:left="420" w:leftChars="200"/>
    </w:pPr>
  </w:style>
  <w:style w:type="paragraph" w:styleId="21">
    <w:name w:val="Normal (Web)"/>
    <w:basedOn w:val="1"/>
    <w:unhideWhenUsed/>
    <w:qFormat/>
    <w:uiPriority w:val="99"/>
    <w:pPr>
      <w:spacing w:before="100" w:beforeAutospacing="1" w:after="100" w:afterAutospacing="1" w:line="240" w:lineRule="auto"/>
      <w:jc w:val="left"/>
    </w:pPr>
    <w:rPr>
      <w:rFonts w:ascii="宋体" w:hAnsi="宋体" w:cs="宋体"/>
      <w:kern w:val="0"/>
      <w:szCs w:val="24"/>
    </w:rPr>
  </w:style>
  <w:style w:type="paragraph" w:styleId="22">
    <w:name w:val="Title"/>
    <w:basedOn w:val="1"/>
    <w:next w:val="1"/>
    <w:link w:val="36"/>
    <w:qFormat/>
    <w:uiPriority w:val="0"/>
    <w:pPr>
      <w:spacing w:before="240" w:after="60"/>
      <w:jc w:val="center"/>
      <w:outlineLvl w:val="0"/>
    </w:pPr>
    <w:rPr>
      <w:rFonts w:cstheme="majorBidi"/>
      <w:b/>
      <w:bCs/>
      <w:kern w:val="0"/>
      <w:sz w:val="44"/>
      <w:szCs w:val="32"/>
    </w:rPr>
  </w:style>
  <w:style w:type="paragraph" w:styleId="23">
    <w:name w:val="annotation subject"/>
    <w:basedOn w:val="12"/>
    <w:next w:val="12"/>
    <w:link w:val="47"/>
    <w:semiHidden/>
    <w:unhideWhenUsed/>
    <w:qFormat/>
    <w:uiPriority w:val="99"/>
    <w:rPr>
      <w:b/>
      <w:bCs/>
    </w:rPr>
  </w:style>
  <w:style w:type="table" w:styleId="25">
    <w:name w:val="Table Grid"/>
    <w:basedOn w:val="2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FollowedHyperlink"/>
    <w:basedOn w:val="26"/>
    <w:semiHidden/>
    <w:unhideWhenUsed/>
    <w:qFormat/>
    <w:uiPriority w:val="99"/>
    <w:rPr>
      <w:color w:val="954F72" w:themeColor="followedHyperlink"/>
      <w:u w:val="single"/>
    </w:rPr>
  </w:style>
  <w:style w:type="character" w:styleId="28">
    <w:name w:val="Emphasis"/>
    <w:basedOn w:val="26"/>
    <w:qFormat/>
    <w:uiPriority w:val="20"/>
    <w:rPr>
      <w:i/>
    </w:rPr>
  </w:style>
  <w:style w:type="character" w:styleId="29">
    <w:name w:val="Hyperlink"/>
    <w:basedOn w:val="26"/>
    <w:unhideWhenUsed/>
    <w:qFormat/>
    <w:uiPriority w:val="99"/>
    <w:rPr>
      <w:color w:val="0563C1" w:themeColor="hyperlink"/>
      <w:u w:val="single"/>
    </w:rPr>
  </w:style>
  <w:style w:type="character" w:styleId="30">
    <w:name w:val="annotation reference"/>
    <w:basedOn w:val="26"/>
    <w:semiHidden/>
    <w:unhideWhenUsed/>
    <w:qFormat/>
    <w:uiPriority w:val="99"/>
    <w:rPr>
      <w:sz w:val="21"/>
      <w:szCs w:val="21"/>
    </w:rPr>
  </w:style>
  <w:style w:type="paragraph" w:customStyle="1" w:styleId="31">
    <w:name w:val="表头"/>
    <w:basedOn w:val="1"/>
    <w:link w:val="32"/>
    <w:qFormat/>
    <w:uiPriority w:val="1"/>
    <w:pPr>
      <w:spacing w:before="60" w:after="60" w:line="240" w:lineRule="auto"/>
      <w:jc w:val="center"/>
    </w:pPr>
    <w:rPr>
      <w:rFonts w:eastAsia="黑体"/>
      <w:sz w:val="21"/>
    </w:rPr>
  </w:style>
  <w:style w:type="character" w:customStyle="1" w:styleId="32">
    <w:name w:val="表头 Char"/>
    <w:basedOn w:val="26"/>
    <w:link w:val="31"/>
    <w:qFormat/>
    <w:uiPriority w:val="1"/>
    <w:rPr>
      <w:rFonts w:eastAsia="黑体"/>
      <w:sz w:val="21"/>
    </w:rPr>
  </w:style>
  <w:style w:type="paragraph" w:customStyle="1" w:styleId="33">
    <w:name w:val="表格"/>
    <w:basedOn w:val="1"/>
    <w:link w:val="34"/>
    <w:qFormat/>
    <w:uiPriority w:val="2"/>
    <w:pPr>
      <w:widowControl w:val="0"/>
      <w:wordWrap w:val="0"/>
      <w:spacing w:line="240" w:lineRule="auto"/>
      <w:jc w:val="center"/>
    </w:pPr>
    <w:rPr>
      <w:sz w:val="21"/>
      <w:szCs w:val="22"/>
    </w:rPr>
  </w:style>
  <w:style w:type="character" w:customStyle="1" w:styleId="34">
    <w:name w:val="表格 Char"/>
    <w:basedOn w:val="26"/>
    <w:link w:val="33"/>
    <w:qFormat/>
    <w:uiPriority w:val="2"/>
    <w:rPr>
      <w:sz w:val="21"/>
      <w:szCs w:val="22"/>
    </w:rPr>
  </w:style>
  <w:style w:type="paragraph" w:customStyle="1" w:styleId="35">
    <w:name w:val="学位论文题目"/>
    <w:basedOn w:val="22"/>
    <w:qFormat/>
    <w:uiPriority w:val="0"/>
    <w:pPr>
      <w:widowControl w:val="0"/>
      <w:spacing w:line="240" w:lineRule="auto"/>
    </w:pPr>
    <w:rPr>
      <w:rFonts w:ascii="Arial" w:hAnsi="Arial" w:eastAsia="黑体" w:cs="Arial"/>
      <w:kern w:val="2"/>
      <w:sz w:val="36"/>
    </w:rPr>
  </w:style>
  <w:style w:type="character" w:customStyle="1" w:styleId="36">
    <w:name w:val="标题 Char"/>
    <w:basedOn w:val="26"/>
    <w:link w:val="22"/>
    <w:qFormat/>
    <w:uiPriority w:val="0"/>
    <w:rPr>
      <w:rFonts w:cstheme="majorBidi"/>
      <w:b/>
      <w:bCs/>
      <w:kern w:val="0"/>
      <w:sz w:val="44"/>
      <w:szCs w:val="32"/>
    </w:rPr>
  </w:style>
  <w:style w:type="paragraph" w:customStyle="1" w:styleId="37">
    <w:name w:val="公式"/>
    <w:qFormat/>
    <w:uiPriority w:val="2"/>
    <w:pPr>
      <w:tabs>
        <w:tab w:val="center" w:pos="4156"/>
        <w:tab w:val="right" w:pos="10110"/>
      </w:tabs>
      <w:jc w:val="right"/>
    </w:pPr>
    <w:rPr>
      <w:rFonts w:ascii="Times New Roman" w:hAnsi="Times New Roman" w:eastAsia="宋体" w:cs="Times New Roman"/>
      <w:kern w:val="2"/>
      <w:sz w:val="21"/>
      <w:szCs w:val="22"/>
      <w:lang w:val="en-US" w:eastAsia="zh-CN" w:bidi="ar-SA"/>
    </w:rPr>
  </w:style>
  <w:style w:type="character" w:customStyle="1" w:styleId="38">
    <w:name w:val="标题 1 Char"/>
    <w:link w:val="4"/>
    <w:qFormat/>
    <w:uiPriority w:val="0"/>
    <w:rPr>
      <w:rFonts w:eastAsia="黑体"/>
      <w:b/>
      <w:bCs/>
      <w:kern w:val="44"/>
      <w:sz w:val="36"/>
      <w:szCs w:val="44"/>
    </w:rPr>
  </w:style>
  <w:style w:type="character" w:customStyle="1" w:styleId="39">
    <w:name w:val="标题 2 Char"/>
    <w:link w:val="5"/>
    <w:qFormat/>
    <w:uiPriority w:val="0"/>
    <w:rPr>
      <w:rFonts w:eastAsia="黑体"/>
      <w:b/>
      <w:bCs/>
      <w:sz w:val="30"/>
      <w:szCs w:val="32"/>
    </w:rPr>
  </w:style>
  <w:style w:type="character" w:customStyle="1" w:styleId="40">
    <w:name w:val="标题 3 Char"/>
    <w:link w:val="6"/>
    <w:qFormat/>
    <w:uiPriority w:val="0"/>
    <w:rPr>
      <w:rFonts w:eastAsia="黑体"/>
      <w:b/>
      <w:bCs/>
      <w:sz w:val="28"/>
      <w:szCs w:val="32"/>
    </w:rPr>
  </w:style>
  <w:style w:type="character" w:customStyle="1" w:styleId="41">
    <w:name w:val="标题 4 Char"/>
    <w:link w:val="7"/>
    <w:qFormat/>
    <w:uiPriority w:val="0"/>
    <w:rPr>
      <w:rFonts w:eastAsia="楷体"/>
      <w:b/>
      <w:bCs/>
      <w:sz w:val="24"/>
      <w:szCs w:val="28"/>
    </w:rPr>
  </w:style>
  <w:style w:type="character" w:customStyle="1" w:styleId="42">
    <w:name w:val="页眉 Char"/>
    <w:basedOn w:val="26"/>
    <w:link w:val="17"/>
    <w:qFormat/>
    <w:uiPriority w:val="0"/>
    <w:rPr>
      <w:sz w:val="18"/>
      <w:szCs w:val="18"/>
    </w:rPr>
  </w:style>
  <w:style w:type="character" w:customStyle="1" w:styleId="43">
    <w:name w:val="页脚 Char"/>
    <w:basedOn w:val="26"/>
    <w:link w:val="16"/>
    <w:qFormat/>
    <w:uiPriority w:val="99"/>
    <w:rPr>
      <w:sz w:val="18"/>
      <w:szCs w:val="18"/>
    </w:rPr>
  </w:style>
  <w:style w:type="character" w:customStyle="1" w:styleId="44">
    <w:name w:val="批注框文本 Char"/>
    <w:basedOn w:val="26"/>
    <w:link w:val="15"/>
    <w:semiHidden/>
    <w:qFormat/>
    <w:uiPriority w:val="99"/>
    <w:rPr>
      <w:sz w:val="18"/>
      <w:szCs w:val="18"/>
    </w:rPr>
  </w:style>
  <w:style w:type="paragraph" w:customStyle="1" w:styleId="45">
    <w:name w:val="TOC 标题1"/>
    <w:basedOn w:val="4"/>
    <w:next w:val="1"/>
    <w:unhideWhenUsed/>
    <w:qFormat/>
    <w:uiPriority w:val="39"/>
    <w:pPr>
      <w:spacing w:before="480" w:after="0" w:line="276" w:lineRule="auto"/>
      <w:outlineLvl w:val="9"/>
    </w:pPr>
    <w:rPr>
      <w:rFonts w:asciiTheme="majorHAnsi" w:hAnsiTheme="majorHAnsi" w:eastAsiaTheme="majorEastAsia" w:cstheme="majorBidi"/>
      <w:color w:val="2E75B5" w:themeColor="accent1" w:themeShade="BF"/>
      <w:kern w:val="0"/>
      <w:sz w:val="28"/>
      <w:szCs w:val="28"/>
    </w:rPr>
  </w:style>
  <w:style w:type="character" w:customStyle="1" w:styleId="46">
    <w:name w:val="批注文字 Char"/>
    <w:basedOn w:val="26"/>
    <w:link w:val="12"/>
    <w:semiHidden/>
    <w:qFormat/>
    <w:uiPriority w:val="99"/>
    <w:rPr>
      <w:sz w:val="24"/>
    </w:rPr>
  </w:style>
  <w:style w:type="character" w:customStyle="1" w:styleId="47">
    <w:name w:val="批注主题 Char"/>
    <w:basedOn w:val="46"/>
    <w:link w:val="23"/>
    <w:semiHidden/>
    <w:qFormat/>
    <w:uiPriority w:val="99"/>
    <w:rPr>
      <w:b/>
      <w:bCs/>
      <w:sz w:val="24"/>
    </w:rPr>
  </w:style>
  <w:style w:type="character" w:customStyle="1" w:styleId="48">
    <w:name w:val="fontstyle01"/>
    <w:basedOn w:val="26"/>
    <w:qFormat/>
    <w:uiPriority w:val="0"/>
    <w:rPr>
      <w:rFonts w:hint="eastAsia" w:ascii="黑体" w:hAnsi="黑体" w:eastAsia="黑体"/>
      <w:color w:val="000000"/>
      <w:sz w:val="24"/>
      <w:szCs w:val="24"/>
    </w:rPr>
  </w:style>
  <w:style w:type="character" w:customStyle="1" w:styleId="49">
    <w:name w:val="fontstyle21"/>
    <w:basedOn w:val="26"/>
    <w:qFormat/>
    <w:uiPriority w:val="0"/>
    <w:rPr>
      <w:rFonts w:hint="default" w:ascii="仿宋" w:hAnsi="仿宋"/>
      <w:color w:val="000000"/>
      <w:sz w:val="22"/>
      <w:szCs w:val="22"/>
    </w:rPr>
  </w:style>
  <w:style w:type="paragraph" w:customStyle="1" w:styleId="50">
    <w:name w:val="修订1"/>
    <w:hidden/>
    <w:semiHidden/>
    <w:qFormat/>
    <w:uiPriority w:val="99"/>
    <w:rPr>
      <w:rFonts w:ascii="Times New Roman" w:hAnsi="Times New Roman" w:eastAsia="宋体" w:cs="Times New Roman"/>
      <w:kern w:val="2"/>
      <w:sz w:val="24"/>
      <w:lang w:val="en-US" w:eastAsia="zh-CN" w:bidi="ar-SA"/>
    </w:rPr>
  </w:style>
  <w:style w:type="paragraph" w:customStyle="1" w:styleId="51">
    <w:name w:val="-正文"/>
    <w:basedOn w:val="1"/>
    <w:link w:val="52"/>
    <w:qFormat/>
    <w:uiPriority w:val="0"/>
    <w:pPr>
      <w:widowControl w:val="0"/>
      <w:spacing w:line="600" w:lineRule="exact"/>
      <w:ind w:firstLine="200" w:firstLineChars="200"/>
    </w:pPr>
    <w:rPr>
      <w:rFonts w:eastAsia="仿宋_GB2312" w:cs="宋体"/>
      <w:sz w:val="32"/>
    </w:rPr>
  </w:style>
  <w:style w:type="character" w:customStyle="1" w:styleId="52">
    <w:name w:val="-正文 Char"/>
    <w:link w:val="51"/>
    <w:qFormat/>
    <w:uiPriority w:val="0"/>
    <w:rPr>
      <w:rFonts w:eastAsia="仿宋_GB2312" w:cs="宋体"/>
      <w:sz w:val="32"/>
    </w:rPr>
  </w:style>
  <w:style w:type="character" w:customStyle="1" w:styleId="53">
    <w:name w:val="文档结构图 Char"/>
    <w:basedOn w:val="26"/>
    <w:link w:val="11"/>
    <w:semiHidden/>
    <w:qFormat/>
    <w:uiPriority w:val="99"/>
    <w:rPr>
      <w:rFonts w:ascii="宋体"/>
      <w:sz w:val="18"/>
      <w:szCs w:val="18"/>
    </w:rPr>
  </w:style>
  <w:style w:type="paragraph" w:customStyle="1" w:styleId="54">
    <w:name w:val="列出段落1"/>
    <w:basedOn w:val="1"/>
    <w:qFormat/>
    <w:uiPriority w:val="34"/>
    <w:pPr>
      <w:widowControl w:val="0"/>
      <w:spacing w:line="240" w:lineRule="auto"/>
      <w:ind w:firstLine="420" w:firstLineChars="200"/>
    </w:pPr>
    <w:rPr>
      <w:rFonts w:eastAsia="宋体"/>
      <w:sz w:val="21"/>
      <w:szCs w:val="24"/>
    </w:rPr>
  </w:style>
  <w:style w:type="paragraph" w:customStyle="1" w:styleId="55">
    <w:name w:val="列出段落111"/>
    <w:basedOn w:val="1"/>
    <w:qFormat/>
    <w:uiPriority w:val="34"/>
    <w:pPr>
      <w:widowControl w:val="0"/>
      <w:spacing w:line="240" w:lineRule="auto"/>
      <w:ind w:firstLine="420" w:firstLineChars="200"/>
    </w:pPr>
    <w:rPr>
      <w:rFonts w:eastAsia="宋体"/>
      <w:sz w:val="21"/>
      <w:szCs w:val="24"/>
    </w:rPr>
  </w:style>
  <w:style w:type="paragraph" w:customStyle="1" w:styleId="56">
    <w:name w:val="样式 (西文) Times New Roman (中文) 仿宋 四号"/>
    <w:basedOn w:val="1"/>
    <w:qFormat/>
    <w:uiPriority w:val="0"/>
    <w:pPr>
      <w:spacing w:line="240" w:lineRule="auto"/>
      <w:ind w:firstLine="560" w:firstLineChars="200"/>
      <w:jc w:val="left"/>
    </w:pPr>
    <w:rPr>
      <w:rFonts w:cs="宋体"/>
      <w:kern w:val="0"/>
    </w:rPr>
  </w:style>
  <w:style w:type="paragraph" w:customStyle="1" w:styleId="57">
    <w:name w:val="正文2"/>
    <w:basedOn w:val="1"/>
    <w:next w:val="1"/>
    <w:qFormat/>
    <w:uiPriority w:val="0"/>
    <w:pPr>
      <w:widowControl w:val="0"/>
      <w:tabs>
        <w:tab w:val="left" w:pos="720"/>
      </w:tabs>
      <w:adjustRightInd w:val="0"/>
      <w:spacing w:line="500" w:lineRule="atLeast"/>
    </w:pPr>
    <w:rPr>
      <w:rFonts w:ascii="Calibri" w:hAnsi="Calibri" w:eastAsia="宋体"/>
      <w:sz w:val="18"/>
    </w:rPr>
  </w:style>
  <w:style w:type="paragraph" w:customStyle="1" w:styleId="58">
    <w:name w:val="列出段落2"/>
    <w:basedOn w:val="1"/>
    <w:qFormat/>
    <w:uiPriority w:val="99"/>
    <w:pPr>
      <w:widowControl w:val="0"/>
      <w:spacing w:line="240" w:lineRule="auto"/>
      <w:ind w:firstLine="420" w:firstLineChars="200"/>
    </w:pPr>
    <w:rPr>
      <w:rFonts w:ascii="Calibri" w:hAnsi="Calibri" w:eastAsia="宋体" w:cs="Calibri"/>
      <w:sz w:val="32"/>
      <w:szCs w:val="32"/>
    </w:rPr>
  </w:style>
  <w:style w:type="character" w:customStyle="1" w:styleId="59">
    <w:name w:val="正文文本缩进 Char"/>
    <w:basedOn w:val="26"/>
    <w:link w:val="3"/>
    <w:semiHidden/>
    <w:qFormat/>
    <w:uiPriority w:val="99"/>
    <w:rPr>
      <w:rFonts w:eastAsia="仿宋"/>
      <w:kern w:val="2"/>
      <w:sz w:val="28"/>
    </w:rPr>
  </w:style>
  <w:style w:type="character" w:customStyle="1" w:styleId="60">
    <w:name w:val="正文首行缩进 2 Char"/>
    <w:basedOn w:val="59"/>
    <w:link w:val="2"/>
    <w:semiHidden/>
    <w:qFormat/>
    <w:uiPriority w:val="99"/>
    <w:rPr>
      <w:rFonts w:eastAsia="仿宋"/>
      <w:kern w:val="2"/>
      <w:sz w:val="28"/>
    </w:rPr>
  </w:style>
  <w:style w:type="character" w:customStyle="1" w:styleId="61">
    <w:name w:val="正文缩进 Char"/>
    <w:link w:val="8"/>
    <w:qFormat/>
    <w:uiPriority w:val="0"/>
    <w:rPr>
      <w:rFonts w:eastAsia="仿宋"/>
      <w:kern w:val="2"/>
      <w:sz w:val="24"/>
    </w:rPr>
  </w:style>
  <w:style w:type="character" w:customStyle="1" w:styleId="62">
    <w:name w:val="称呼 Char"/>
    <w:basedOn w:val="26"/>
    <w:link w:val="13"/>
    <w:qFormat/>
    <w:uiPriority w:val="99"/>
    <w:rPr>
      <w:rFonts w:eastAsia="仿宋"/>
      <w:kern w:val="2"/>
      <w:sz w:val="28"/>
    </w:rPr>
  </w:style>
  <w:style w:type="paragraph" w:customStyle="1" w:styleId="63">
    <w:name w:val="样式2"/>
    <w:basedOn w:val="5"/>
    <w:next w:val="20"/>
    <w:link w:val="64"/>
    <w:qFormat/>
    <w:uiPriority w:val="0"/>
    <w:pPr>
      <w:widowControl w:val="0"/>
      <w:adjustRightInd w:val="0"/>
      <w:snapToGrid w:val="0"/>
      <w:spacing w:before="0" w:after="0" w:line="580" w:lineRule="exact"/>
      <w:ind w:firstLine="200" w:firstLineChars="200"/>
    </w:pPr>
    <w:rPr>
      <w:rFonts w:ascii="仿宋_GB2312" w:hAnsi="Arial" w:eastAsia="楷体_GB2312" w:cs="Arial"/>
      <w:b w:val="0"/>
      <w:sz w:val="32"/>
    </w:rPr>
  </w:style>
  <w:style w:type="character" w:customStyle="1" w:styleId="64">
    <w:name w:val="样式2 Char"/>
    <w:basedOn w:val="39"/>
    <w:link w:val="63"/>
    <w:qFormat/>
    <w:uiPriority w:val="0"/>
    <w:rPr>
      <w:rFonts w:ascii="仿宋_GB2312" w:hAnsi="Arial" w:eastAsia="楷体_GB2312" w:cs="Arial"/>
      <w:b w:val="0"/>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48</Pages>
  <Words>6413</Words>
  <Characters>6559</Characters>
  <Lines>208</Lines>
  <Paragraphs>58</Paragraphs>
  <TotalTime>1097</TotalTime>
  <ScaleCrop>false</ScaleCrop>
  <LinksUpToDate>false</LinksUpToDate>
  <CharactersWithSpaces>6655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2021-12-23T15:59:00Z</dcterms:created>
  <dc:creator>dc</dc:creator>
  <cp:lastModifiedBy>w  it</cp:lastModifiedBy>
  <cp:lastPrinted>2021-12-28T15:25:00Z</cp:lastPrinted>
  <dcterms:modified xsi:type="dcterms:W3CDTF">2026-07-29T02:08:07Z</dcterms:modified>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DCF21F7446C44290AF61D0B3FE29AFCB_13</vt:lpwstr>
  </property>
  <property fmtid="{D5CDD505-2E9C-101B-9397-08002B2CF9AE}" pid="4" name="commondata">
    <vt:lpwstr>eyJoZGlkIjoiZjJhMTA0ZDlhYTgzMmQ3Zjg4NDBkODE1ODFhZTMzYmIifQ==</vt:lpwstr>
  </property>
</Properties>
</file>