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/>
        </w:rPr>
        <w:t>井研县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城镇土地使用税征收范围和税额标准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-6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kern w:val="2"/>
          <w:sz w:val="32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spacing w:val="-6"/>
          <w:kern w:val="2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根据《中华人民共和国城镇土地使用税暂行条例》（国务院〔2006〕第483号令）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《四川省城镇土地使用税实施办法》（川府令第7—1号）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的规定，对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井研县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城镇土地使用税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的征收范围和税额标准作如下调整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一、征收范围和税额标准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井研县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城区、建制镇规划范围内的应税土地。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根据市政建设情况、经济繁荣程度等条件，将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井研县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城镇土地划分为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至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级（城区划分为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一、二、三、四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级，建制镇划分为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五、六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），城镇土地使用税年税额标准为每平方米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元至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元，具体等级范围及税额标准详见附件。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二、执行时间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上述征收范围和税额标准自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日起施行（以最终政府发文确定时间为准），有效期5年。如有效期内相关法律法规等政策文件修订或者重新发布，则按修订或者重新发布的政策文件执行。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eastAsia="仿宋_GB2312" w:cs="Times New Roman"/>
          <w:color w:val="FF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spacing w:line="560" w:lineRule="exact"/>
        <w:jc w:val="center"/>
        <w:rPr>
          <w:rFonts w:hint="eastAsia" w:eastAsia="方正小标宋简体"/>
          <w:b w:val="0"/>
          <w:bCs/>
          <w:spacing w:val="-17"/>
          <w:kern w:val="2"/>
          <w:sz w:val="40"/>
          <w:szCs w:val="40"/>
        </w:rPr>
      </w:pPr>
      <w:r>
        <w:rPr>
          <w:rFonts w:hint="eastAsia" w:eastAsia="方正小标宋简体"/>
          <w:b w:val="0"/>
          <w:bCs/>
          <w:spacing w:val="-17"/>
          <w:kern w:val="2"/>
          <w:sz w:val="40"/>
          <w:szCs w:val="40"/>
          <w:lang w:eastAsia="zh-CN"/>
        </w:rPr>
        <w:t>井研</w:t>
      </w:r>
      <w:r>
        <w:rPr>
          <w:rFonts w:eastAsia="方正小标宋简体"/>
          <w:b w:val="0"/>
          <w:bCs/>
          <w:spacing w:val="-17"/>
          <w:kern w:val="2"/>
          <w:sz w:val="40"/>
          <w:szCs w:val="40"/>
        </w:rPr>
        <w:t>县</w:t>
      </w:r>
      <w:r>
        <w:rPr>
          <w:rFonts w:hint="eastAsia" w:eastAsia="方正小标宋简体"/>
          <w:b w:val="0"/>
          <w:bCs/>
          <w:spacing w:val="-17"/>
          <w:kern w:val="2"/>
          <w:sz w:val="40"/>
          <w:szCs w:val="40"/>
          <w:lang w:eastAsia="zh-CN"/>
        </w:rPr>
        <w:t>土地等级范围及城镇土地使用</w:t>
      </w:r>
      <w:r>
        <w:rPr>
          <w:rFonts w:eastAsia="方正小标宋简体"/>
          <w:b w:val="0"/>
          <w:bCs/>
          <w:spacing w:val="-17"/>
          <w:kern w:val="2"/>
          <w:sz w:val="40"/>
          <w:szCs w:val="40"/>
        </w:rPr>
        <w:t>税</w:t>
      </w:r>
      <w:r>
        <w:rPr>
          <w:rFonts w:hint="eastAsia" w:eastAsia="方正小标宋简体"/>
          <w:b w:val="0"/>
          <w:bCs/>
          <w:spacing w:val="-17"/>
          <w:kern w:val="2"/>
          <w:sz w:val="40"/>
          <w:szCs w:val="40"/>
          <w:lang w:eastAsia="zh-CN"/>
        </w:rPr>
        <w:t>税</w:t>
      </w:r>
      <w:r>
        <w:rPr>
          <w:rFonts w:eastAsia="方正小标宋简体"/>
          <w:b w:val="0"/>
          <w:bCs/>
          <w:spacing w:val="-17"/>
          <w:kern w:val="2"/>
          <w:sz w:val="40"/>
          <w:szCs w:val="40"/>
        </w:rPr>
        <w:t>额标准表</w:t>
      </w:r>
    </w:p>
    <w:p>
      <w:pPr>
        <w:pStyle w:val="2"/>
        <w:spacing w:line="240" w:lineRule="exact"/>
      </w:pPr>
    </w:p>
    <w:tbl>
      <w:tblPr>
        <w:tblStyle w:val="6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602"/>
        <w:gridCol w:w="1410"/>
        <w:gridCol w:w="4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土地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  <w:lang w:bidi="ar"/>
              </w:rPr>
              <w:t>等级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每平方米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年 税 额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  <w:lang w:bidi="ar"/>
              </w:rPr>
              <w:t>（元）</w:t>
            </w:r>
          </w:p>
        </w:tc>
        <w:tc>
          <w:tcPr>
            <w:tcW w:w="6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  <w:lang w:bidi="ar"/>
              </w:rPr>
              <w:t>等级地域范围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一级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1</w:t>
            </w:r>
            <w:r>
              <w:rPr>
                <w:rFonts w:hint="eastAsia"/>
                <w:b/>
                <w:color w:val="000000"/>
                <w:szCs w:val="21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县城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书院街、胜利街、金盛广场、书台街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二级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县城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中城街、世园步行街、西门街、创业街、民主街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三级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 w:bidi="ar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  <w:lang w:bidi="ar"/>
              </w:rPr>
              <w:t>县城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迎宾大道：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城南晶座至蒲亭上郡；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和谐街：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建设路与和谐街口往金家湾方向至城南晶座；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幸福大道：</w:t>
            </w:r>
            <w:r>
              <w:rPr>
                <w:rFonts w:hint="eastAsia" w:cs="Times New Roman"/>
                <w:b w:val="0"/>
                <w:bCs/>
                <w:szCs w:val="21"/>
                <w:lang w:val="en-US" w:eastAsia="zh-CN"/>
              </w:rPr>
              <w:t>幸福大道与迎宾大道交叉口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至来凤路口</w:t>
            </w:r>
            <w:r>
              <w:rPr>
                <w:rFonts w:hint="eastAsia" w:cs="Times New Roman"/>
                <w:b w:val="0"/>
                <w:bCs/>
                <w:szCs w:val="21"/>
                <w:lang w:val="en-US" w:eastAsia="zh-CN"/>
              </w:rPr>
              <w:t>（工商银行）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；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来凤路：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盛世融城西区西门至华美金庄西门、来凤小学、锦绣华庭、锦绣·幸福海岸、县中医院；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学府路：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学府路1号至学府路与来凤路交叉路口；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白塔街：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建设路与白塔街路口至城镇卫生院、蒲亭上郡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和平街：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和平街1号至建设路与白塔街交叉路口（牛市大桥方向）、城南综合市场（井荣路方向）</w:t>
            </w:r>
          </w:p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解放街、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建设路、东门新村街、紫苑欣街、翠屏街、铁市街、天宫巷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四级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 w:bidi="ar"/>
              </w:rPr>
            </w:pPr>
            <w:r>
              <w:rPr>
                <w:rFonts w:hint="eastAsia"/>
                <w:b/>
                <w:color w:val="000000"/>
                <w:szCs w:val="21"/>
                <w:lang w:eastAsia="zh-CN" w:bidi="ar"/>
              </w:rPr>
              <w:t>县城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5"/>
              </w:tabs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川井研经济开发区规划范围内的土地</w:t>
            </w:r>
          </w:p>
          <w:p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县城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规划范围内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除一至三级土地等级外未列明的其他区域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五级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default"/>
                <w:b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  <w:lang w:eastAsia="zh-CN" w:bidi="ar"/>
              </w:rPr>
              <w:t>建制镇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eastAsia="zh-CN"/>
              </w:rPr>
              <w:t>马踏镇</w:t>
            </w:r>
            <w:r>
              <w:rPr>
                <w:rFonts w:hint="eastAsia" w:cs="Times New Roman"/>
                <w:b w:val="0"/>
                <w:bCs/>
                <w:szCs w:val="21"/>
                <w:lang w:eastAsia="zh-CN"/>
              </w:rPr>
              <w:t>规划范围内的土地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 w:bidi="ar"/>
              </w:rPr>
            </w:pPr>
            <w:r>
              <w:rPr>
                <w:rFonts w:hint="eastAsia"/>
                <w:b/>
                <w:color w:val="000000"/>
                <w:szCs w:val="21"/>
                <w:lang w:eastAsia="zh-CN" w:bidi="ar"/>
              </w:rPr>
              <w:t>六级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hint="default"/>
                <w:b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 w:bidi="ar"/>
              </w:rPr>
              <w:t>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建制镇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line="320" w:lineRule="exact"/>
              <w:jc w:val="left"/>
              <w:textAlignment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竹园镇、研经镇、周坡镇、千佛镇、王村镇、三江镇、东林镇、集益镇、纯复镇、宝五镇、镇阳镇、高凤镇、门坎镇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规划范围内的土地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5" w:type="default"/>
      <w:pgSz w:w="11906" w:h="16838"/>
      <w:pgMar w:top="1701" w:right="1417" w:bottom="124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47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7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6.2pt;mso-position-horizontal:outside;mso-position-horizontal-relative:margin;z-index:251659264;mso-width-relative:page;mso-height-relative:page;" filled="f" stroked="f" coordsize="21600,21600" o:gfxdata="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E8Sb1AAAAAUBAAAPAAAAAAAAAAEAIAAAACIAAABkcnMvZG93bnJldi54&#10;bWxQSwECFAAUAAAACACHTuJAhFJcYz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4DBB"/>
    <w:rsid w:val="0F287C06"/>
    <w:rsid w:val="0FB163AA"/>
    <w:rsid w:val="10880F95"/>
    <w:rsid w:val="126F13C4"/>
    <w:rsid w:val="193824CA"/>
    <w:rsid w:val="214B6FE6"/>
    <w:rsid w:val="236C1BE9"/>
    <w:rsid w:val="2F0712D1"/>
    <w:rsid w:val="30295484"/>
    <w:rsid w:val="33AA4AC5"/>
    <w:rsid w:val="3431440F"/>
    <w:rsid w:val="3A061E08"/>
    <w:rsid w:val="3B104EA0"/>
    <w:rsid w:val="3B2D19AF"/>
    <w:rsid w:val="45C33B5F"/>
    <w:rsid w:val="463F5408"/>
    <w:rsid w:val="49884AB8"/>
    <w:rsid w:val="4D5E467A"/>
    <w:rsid w:val="50A81695"/>
    <w:rsid w:val="5F1F63E5"/>
    <w:rsid w:val="5F8C4DBB"/>
    <w:rsid w:val="685B6679"/>
    <w:rsid w:val="6B2C48FA"/>
    <w:rsid w:val="6CF61F5F"/>
    <w:rsid w:val="6F9856F5"/>
    <w:rsid w:val="758101AD"/>
    <w:rsid w:val="78BF7D06"/>
    <w:rsid w:val="7F3C44BA"/>
    <w:rsid w:val="7FD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2025-05-16T06:46:00Z</dcterms:created>
  <dc:creator>Administrator</dc:creator>
  <cp:lastModifiedBy>代世凯</cp:lastModifiedBy>
  <cp:lastPrinted>2025-06-17T06:07:00Z</cp:lastPrinted>
  <dcterms:modified xsi:type="dcterms:W3CDTF">2025-07-10T09:23:14Z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