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0BA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u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u w:val="none"/>
          <w:lang w:eastAsia="zh-CN"/>
          <w14:textFill>
            <w14:solidFill>
              <w14:schemeClr w14:val="tx1"/>
            </w14:solidFill>
          </w14:textFill>
        </w:rPr>
        <w:t>井研县</w:t>
      </w:r>
      <w:r>
        <w:rPr>
          <w:rFonts w:hint="eastAsia" w:ascii="方正小标宋简体" w:hAnsi="方正小标宋简体" w:eastAsia="方正小标宋简体" w:cs="方正小标宋简体"/>
          <w:color w:val="000000" w:themeColor="text1"/>
          <w:sz w:val="44"/>
          <w:szCs w:val="44"/>
          <w:u w:val="none"/>
          <w14:textFill>
            <w14:solidFill>
              <w14:schemeClr w14:val="tx1"/>
            </w14:solidFill>
          </w14:textFill>
        </w:rPr>
        <w:t>政府投资管理办法</w:t>
      </w:r>
    </w:p>
    <w:p w14:paraId="7CCDA4F4">
      <w:pPr>
        <w:pStyle w:val="2"/>
        <w:ind w:left="0" w:leftChars="0" w:firstLine="0" w:firstLineChars="0"/>
        <w:jc w:val="center"/>
        <w:rPr>
          <w:rFonts w:hint="eastAsia" w:ascii="Times New Roman" w:hAnsi="Times New Roman"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u w:val="none"/>
          <w:lang w:val="en-US" w:eastAsia="zh-CN" w:bidi="ar-SA"/>
          <w14:textFill>
            <w14:solidFill>
              <w14:schemeClr w14:val="tx1"/>
            </w14:solidFill>
          </w14:textFill>
        </w:rPr>
        <w:t>（征求意见稿）</w:t>
      </w:r>
    </w:p>
    <w:p w14:paraId="7DB965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bookmarkStart w:id="0" w:name="_GoBack"/>
      <w:bookmarkEnd w:id="0"/>
    </w:p>
    <w:p w14:paraId="1EB31E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第一章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总则</w:t>
      </w:r>
    </w:p>
    <w:p w14:paraId="4BFCC8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758E58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第一条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olor w:val="000000" w:themeColor="text1"/>
          <w:sz w:val="32"/>
          <w:szCs w:val="32"/>
          <w:u w:val="none"/>
          <w14:textFill>
            <w14:solidFill>
              <w14:schemeClr w14:val="tx1"/>
            </w14:solidFill>
          </w14:textFill>
        </w:rPr>
        <w:t>为充分发挥政府投资作用，提高政府投资效益，</w:t>
      </w:r>
      <w:r>
        <w:rPr>
          <w:rFonts w:hint="eastAsia" w:ascii="Times New Roman" w:hAnsi="Times New Roman" w:eastAsia="仿宋_GB2312" w:cs="仿宋_GB2312"/>
          <w:color w:val="000000" w:themeColor="text1"/>
          <w:sz w:val="32"/>
          <w:szCs w:val="32"/>
          <w:u w:val="none"/>
          <w14:textFill>
            <w14:solidFill>
              <w14:schemeClr w14:val="tx1"/>
            </w14:solidFill>
          </w14:textFill>
        </w:rPr>
        <w:t>规范政府投资行为</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激发社会投资活力</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依据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并参考</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《政府投资条例》</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《四川省政府投资管理办法》《四川省省预算内直接投资项目概算管理暂行办法》《乐山市政府投资管理办法》</w:t>
      </w:r>
      <w:r>
        <w:rPr>
          <w:rFonts w:hint="eastAsia" w:ascii="Times New Roman" w:hAnsi="Times New Roman" w:eastAsia="仿宋_GB2312" w:cs="仿宋_GB2312"/>
          <w:color w:val="000000" w:themeColor="text1"/>
          <w:sz w:val="32"/>
          <w:szCs w:val="32"/>
          <w:u w:val="none"/>
          <w14:textFill>
            <w14:solidFill>
              <w14:schemeClr w14:val="tx1"/>
            </w14:solidFill>
          </w14:textFill>
        </w:rPr>
        <w:t>等有关法律法规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和文件规定，</w:t>
      </w:r>
      <w:r>
        <w:rPr>
          <w:rFonts w:hint="eastAsia" w:ascii="Times New Roman" w:hAnsi="Times New Roman" w:eastAsia="仿宋_GB2312" w:cs="仿宋_GB2312"/>
          <w:color w:val="000000" w:themeColor="text1"/>
          <w:sz w:val="32"/>
          <w:szCs w:val="32"/>
          <w:u w:val="none"/>
          <w14:textFill>
            <w14:solidFill>
              <w14:schemeClr w14:val="tx1"/>
            </w14:solidFill>
          </w14:textFill>
        </w:rPr>
        <w:t>结合</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井研</w:t>
      </w:r>
      <w:r>
        <w:rPr>
          <w:rFonts w:hint="eastAsia" w:ascii="Times New Roman" w:hAnsi="Times New Roman" w:eastAsia="仿宋_GB2312" w:cs="仿宋_GB2312"/>
          <w:color w:val="000000" w:themeColor="text1"/>
          <w:sz w:val="32"/>
          <w:szCs w:val="32"/>
          <w:u w:val="none"/>
          <w14:textFill>
            <w14:solidFill>
              <w14:schemeClr w14:val="tx1"/>
            </w14:solidFill>
          </w14:textFill>
        </w:rPr>
        <w:t>实际</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制定本办法。</w:t>
      </w:r>
    </w:p>
    <w:p w14:paraId="2BD370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第二条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本办法所称政府投资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是指使用预算安排的资金进行固定资产投资建设活动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包括新建、扩建、改建、技术改造等。</w:t>
      </w:r>
    </w:p>
    <w:p w14:paraId="58D91C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第三条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政府投资资金应当投向市场不能有效配置资源的社会公益服务、公共基础设施、农业农村、生态环境保护、重大科技进步、社会管理、国家安全等公共领域的项目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以非经营性项目为主。</w:t>
      </w:r>
    </w:p>
    <w:p w14:paraId="5FC6882A">
      <w:pPr>
        <w:pStyle w:val="6"/>
        <w:spacing w:line="560" w:lineRule="exact"/>
        <w:ind w:left="0" w:right="0" w:firstLine="639"/>
      </w:pPr>
      <w:r>
        <w:rPr>
          <w:spacing w:val="5"/>
        </w:rPr>
        <w:t>县政府应当完善有关政策措施，发挥</w:t>
      </w:r>
      <w:r>
        <w:rPr>
          <w:spacing w:val="4"/>
        </w:rPr>
        <w:t>政府投资资</w:t>
      </w:r>
      <w:r>
        <w:rPr>
          <w:spacing w:val="9"/>
        </w:rPr>
        <w:t>金的引导和带动作用，鼓励社会资金投向前款规定的领</w:t>
      </w:r>
      <w:r>
        <w:rPr>
          <w:spacing w:val="8"/>
        </w:rPr>
        <w:t>域。</w:t>
      </w:r>
    </w:p>
    <w:p w14:paraId="7B95F550">
      <w:pPr>
        <w:pStyle w:val="6"/>
        <w:pageBreakBefore w:val="0"/>
        <w:widowControl w:val="0"/>
        <w:kinsoku/>
        <w:wordWrap/>
        <w:overflowPunct/>
        <w:topLinePunct w:val="0"/>
        <w:autoSpaceDE/>
        <w:autoSpaceDN/>
        <w:bidi w:val="0"/>
        <w:adjustRightInd/>
        <w:snapToGrid/>
        <w:spacing w:before="0" w:after="0" w:line="560" w:lineRule="exact"/>
        <w:ind w:left="0" w:right="0" w:firstLine="688" w:firstLineChars="200"/>
        <w:textAlignment w:val="auto"/>
        <w:rPr>
          <w:spacing w:val="8"/>
        </w:rPr>
      </w:pPr>
      <w:r>
        <w:rPr>
          <w:spacing w:val="17"/>
        </w:rPr>
        <w:t>县政府应当建立健全本级政府投资范围定期评</w:t>
      </w:r>
      <w:r>
        <w:rPr>
          <w:spacing w:val="8"/>
        </w:rPr>
        <w:t>估调整机制，不断优化政府投资方向和结构。</w:t>
      </w:r>
    </w:p>
    <w:p w14:paraId="6FA79DE2">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第四条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政府投资应当遵循科学决策、规范管理、注重绩效、公开透明的原则。</w:t>
      </w:r>
    </w:p>
    <w:p w14:paraId="67DDAA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第五条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政府投资应当与经济社会发展水平和财政收支状况相适应。</w:t>
      </w:r>
    </w:p>
    <w:p w14:paraId="37F2709D">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88" w:firstLineChars="200"/>
        <w:textAlignment w:val="auto"/>
        <w:rPr>
          <w:rFonts w:hint="default" w:ascii="FangSong_GB2312" w:hAnsi="FangSong_GB2312" w:eastAsia="FangSong_GB2312" w:cs="FangSong_GB2312"/>
          <w:color w:val="000000" w:themeColor="text1"/>
          <w:spacing w:val="17"/>
          <w:sz w:val="31"/>
          <w:szCs w:val="31"/>
          <w:u w:val="none"/>
          <w:lang w:eastAsia="zh-CN"/>
          <w14:textFill>
            <w14:solidFill>
              <w14:schemeClr w14:val="tx1"/>
            </w14:solidFill>
          </w14:textFill>
        </w:rPr>
      </w:pPr>
      <w:r>
        <w:rPr>
          <w:spacing w:val="17"/>
        </w:rPr>
        <w:t>县政府</w:t>
      </w:r>
      <w:r>
        <w:rPr>
          <w:rFonts w:hint="default" w:ascii="FangSong_GB2312" w:hAnsi="FangSong_GB2312" w:eastAsia="FangSong_GB2312" w:cs="FangSong_GB2312"/>
          <w:color w:val="000000" w:themeColor="text1"/>
          <w:spacing w:val="17"/>
          <w:sz w:val="31"/>
          <w:szCs w:val="31"/>
          <w:u w:val="none"/>
          <w:lang w:val="en-US" w:eastAsia="zh-CN"/>
          <w14:textFill>
            <w14:solidFill>
              <w14:schemeClr w14:val="tx1"/>
            </w14:solidFill>
          </w14:textFill>
        </w:rPr>
        <w:t>要加强对政府投资资金的预算约束，政府</w:t>
      </w:r>
      <w:r>
        <w:rPr>
          <w:rFonts w:hint="eastAsia" w:cs="FangSong_GB2312"/>
          <w:spacing w:val="17"/>
          <w:sz w:val="31"/>
          <w:szCs w:val="31"/>
          <w:u w:val="none"/>
          <w:lang w:val="en-US" w:eastAsia="zh-CN"/>
        </w:rPr>
        <w:t>及其</w:t>
      </w:r>
      <w:r>
        <w:rPr>
          <w:rFonts w:hint="default" w:ascii="FangSong_GB2312" w:hAnsi="FangSong_GB2312" w:eastAsia="FangSong_GB2312" w:cs="FangSong_GB2312"/>
          <w:color w:val="000000" w:themeColor="text1"/>
          <w:spacing w:val="17"/>
          <w:sz w:val="31"/>
          <w:szCs w:val="31"/>
          <w:u w:val="none"/>
          <w:lang w:val="en-US" w:eastAsia="zh-CN"/>
          <w14:textFill>
            <w14:solidFill>
              <w14:schemeClr w14:val="tx1"/>
            </w14:solidFill>
          </w14:textFill>
        </w:rPr>
        <w:t>有关部门</w:t>
      </w:r>
      <w:r>
        <w:rPr>
          <w:rFonts w:hint="default" w:ascii="FangSong_GB2312" w:hAnsi="FangSong_GB2312" w:eastAsia="FangSong_GB2312" w:cs="FangSong_GB2312"/>
          <w:color w:val="000000" w:themeColor="text1"/>
          <w:spacing w:val="17"/>
          <w:sz w:val="31"/>
          <w:szCs w:val="31"/>
          <w:u w:val="none"/>
          <w14:textFill>
            <w14:solidFill>
              <w14:schemeClr w14:val="tx1"/>
            </w14:solidFill>
          </w14:textFill>
        </w:rPr>
        <w:t>不得违法违规举借债务筹措</w:t>
      </w:r>
      <w:r>
        <w:rPr>
          <w:rFonts w:hint="default" w:ascii="FangSong_GB2312" w:hAnsi="FangSong_GB2312" w:eastAsia="FangSong_GB2312" w:cs="FangSong_GB2312"/>
          <w:color w:val="000000" w:themeColor="text1"/>
          <w:spacing w:val="17"/>
          <w:sz w:val="31"/>
          <w:szCs w:val="31"/>
          <w:u w:val="none"/>
          <w:lang w:eastAsia="zh-CN"/>
          <w14:textFill>
            <w14:solidFill>
              <w14:schemeClr w14:val="tx1"/>
            </w14:solidFill>
          </w14:textFill>
        </w:rPr>
        <w:t>政府投资资金。</w:t>
      </w:r>
    </w:p>
    <w:p w14:paraId="7E6529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第六条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政府投资资金按项目安排</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以直接投资方式为主</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对确需支持的经营性项目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主要采取资本金注入方式</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也可以适当采取投资补助、贷款贴息等方式。</w:t>
      </w:r>
    </w:p>
    <w:p w14:paraId="311866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直接投资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是指政府安排政府投资资金投入非经营性项目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并由政府有关机构或者其指定、委托的机关、团体、事业单位等作为项目法人单位组织实施的方式。</w:t>
      </w:r>
    </w:p>
    <w:p w14:paraId="1736AA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资本金注入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是指政府安排政府投资资金作为经营性项目的资本金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指定政府出资人代表行使所有者权益</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项目建成后政府投资形成相应国有产权的方式。</w:t>
      </w:r>
    </w:p>
    <w:p w14:paraId="14AAC3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投资补助</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是指政府安排政府投资资金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对市场不能有效配置资源、确需支持的经营性项目适当予以补助的方式。</w:t>
      </w:r>
    </w:p>
    <w:p w14:paraId="126AE5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贷款贴息</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是指政府安排政府投资资金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对使用贷款的投资项目贷款利息予以补贴的方式。</w:t>
      </w:r>
    </w:p>
    <w:p w14:paraId="74A043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安排政府投资资金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应当符合推进财政事权和支出责任划分改革的有关要求</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并平等对待各类投资主体</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不得设置歧视性条件。</w:t>
      </w:r>
    </w:p>
    <w:p w14:paraId="081ACB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第七条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w:t>
      </w:r>
      <w:r>
        <w:rPr>
          <w:rFonts w:hint="eastAsia" w:eastAsia="仿宋_GB2312" w:cs="仿宋_GB2312"/>
          <w:color w:val="000000" w:themeColor="text1"/>
          <w:sz w:val="32"/>
          <w:szCs w:val="32"/>
          <w:u w:val="none"/>
          <w:lang w:val="en-US" w:eastAsia="zh-CN"/>
          <w14:textFill>
            <w14:solidFill>
              <w14:schemeClr w14:val="tx1"/>
            </w14:solidFill>
          </w14:textFill>
        </w:rPr>
        <w:t>政府</w:t>
      </w:r>
      <w:r>
        <w:rPr>
          <w:rFonts w:hint="eastAsia" w:ascii="Times New Roman" w:hAnsi="Times New Roman" w:eastAsia="仿宋_GB2312" w:cs="仿宋_GB2312"/>
          <w:color w:val="000000" w:themeColor="text1"/>
          <w:sz w:val="32"/>
          <w:szCs w:val="32"/>
          <w:u w:val="none"/>
          <w14:textFill>
            <w14:solidFill>
              <w14:schemeClr w14:val="tx1"/>
            </w14:solidFill>
          </w14:textFill>
        </w:rPr>
        <w:t>依托四川省投资项目综合管理服务平台</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olor w:val="000000" w:themeColor="text1"/>
          <w:sz w:val="32"/>
          <w:szCs w:val="32"/>
          <w:u w:val="none"/>
          <w14:textFill>
            <w14:solidFill>
              <w14:schemeClr w14:val="tx1"/>
            </w14:solidFill>
          </w14:textFill>
        </w:rPr>
        <w:t>建立政府投资项目储备库</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加强对使用政府投资资金项目的储备，实行动态调整管理。</w:t>
      </w:r>
    </w:p>
    <w:p w14:paraId="4BC738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第八条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县发改</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局</w:t>
      </w:r>
      <w:r>
        <w:rPr>
          <w:rFonts w:hint="eastAsia" w:ascii="Times New Roman" w:hAnsi="Times New Roman" w:eastAsia="仿宋_GB2312" w:cs="仿宋_GB2312"/>
          <w:color w:val="000000" w:themeColor="text1"/>
          <w:sz w:val="32"/>
          <w:szCs w:val="32"/>
          <w:u w:val="none"/>
          <w14:textFill>
            <w14:solidFill>
              <w14:schemeClr w14:val="tx1"/>
            </w14:solidFill>
          </w14:textFill>
        </w:rPr>
        <w:t>为投资主管部门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履行政府投资综合管理职责。</w:t>
      </w:r>
      <w:r>
        <w:rPr>
          <w:rFonts w:hint="eastAsia" w:eastAsia="仿宋_GB2312" w:cs="仿宋_GB2312"/>
          <w:color w:val="000000" w:themeColor="text1"/>
          <w:sz w:val="32"/>
          <w:szCs w:val="32"/>
          <w:u w:val="none"/>
          <w:lang w:val="en-US" w:eastAsia="zh-CN"/>
          <w14:textFill>
            <w14:solidFill>
              <w14:schemeClr w14:val="tx1"/>
            </w14:solidFill>
          </w14:textFill>
        </w:rPr>
        <w:t>县政府</w:t>
      </w:r>
      <w:r>
        <w:rPr>
          <w:rFonts w:hint="eastAsia" w:ascii="Times New Roman" w:hAnsi="Times New Roman" w:eastAsia="仿宋_GB2312" w:cs="仿宋_GB2312"/>
          <w:color w:val="000000" w:themeColor="text1"/>
          <w:sz w:val="32"/>
          <w:szCs w:val="32"/>
          <w:u w:val="none"/>
          <w14:textFill>
            <w14:solidFill>
              <w14:schemeClr w14:val="tx1"/>
            </w14:solidFill>
          </w14:textFill>
        </w:rPr>
        <w:t>其他有关部门依照本办法和</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14:textFill>
            <w14:solidFill>
              <w14:schemeClr w14:val="tx1"/>
            </w14:solidFill>
          </w14:textFill>
        </w:rPr>
        <w:t>政府规定的职责分工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履行本行业、本领域的政府投资管理、监督职责。</w:t>
      </w:r>
      <w:r>
        <w:rPr>
          <w:rFonts w:hint="eastAsia" w:ascii="Times New Roman" w:hAnsi="Times New Roman" w:eastAsia="仿宋_GB2312"/>
          <w:color w:val="000000" w:themeColor="text1"/>
          <w:sz w:val="32"/>
          <w:szCs w:val="32"/>
          <w:u w:val="none"/>
          <w14:textFill>
            <w14:solidFill>
              <w14:schemeClr w14:val="tx1"/>
            </w14:solidFill>
          </w14:textFill>
        </w:rPr>
        <w:t>项目单位是项目建设管理第一责任主体，负责项目建设各个环节的管理。</w:t>
      </w:r>
    </w:p>
    <w:p w14:paraId="614D26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018FCF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第二章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政府投资决策</w:t>
      </w:r>
    </w:p>
    <w:p w14:paraId="71B463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5A4FCD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九</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w:t>
      </w:r>
      <w:r>
        <w:rPr>
          <w:rFonts w:hint="eastAsia" w:ascii="Times New Roman" w:hAnsi="Times New Roman" w:eastAsia="仿宋_GB2312" w:cs="仿宋_GB2312"/>
          <w:color w:val="000000" w:themeColor="text1"/>
          <w:sz w:val="32"/>
          <w:szCs w:val="32"/>
          <w:u w:val="none"/>
          <w14:textFill>
            <w14:solidFill>
              <w14:schemeClr w14:val="tx1"/>
            </w14:solidFill>
          </w14:textFill>
        </w:rPr>
        <w:t>政府</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应当</w:t>
      </w:r>
      <w:r>
        <w:rPr>
          <w:rFonts w:hint="eastAsia" w:ascii="Times New Roman" w:hAnsi="Times New Roman" w:eastAsia="仿宋_GB2312" w:cs="仿宋_GB2312"/>
          <w:color w:val="000000" w:themeColor="text1"/>
          <w:sz w:val="32"/>
          <w:szCs w:val="32"/>
          <w:u w:val="none"/>
          <w14:textFill>
            <w14:solidFill>
              <w14:schemeClr w14:val="tx1"/>
            </w14:solidFill>
          </w14:textFill>
        </w:rPr>
        <w:t>根据国民经济和社会发展规划、中期财政规划和国家宏观调控政策</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结合财政收支状况，统筹安排使用政府投资资金的项目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规范使用各类政府投资资金。</w:t>
      </w:r>
    </w:p>
    <w:p w14:paraId="17B924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政府采取直接投资方式、资本金注入方式投资的项目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以下统称政府投资项目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项目单位应当编制项目建议书、可行性研究报告</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初步设计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按照政府投资管理权限和规定的程序，</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将项目总投资、资金来源、建设规模、业主和建设模式等内容，</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按《井研县县级重大经济事项决策实施细则（试行）》规定的程序报请审定后，</w:t>
      </w:r>
      <w:r>
        <w:rPr>
          <w:rFonts w:hint="eastAsia" w:ascii="Times New Roman" w:hAnsi="Times New Roman" w:eastAsia="仿宋_GB2312" w:cs="仿宋_GB2312"/>
          <w:color w:val="000000" w:themeColor="text1"/>
          <w:sz w:val="32"/>
          <w:szCs w:val="32"/>
          <w:u w:val="none"/>
          <w14:textFill>
            <w14:solidFill>
              <w14:schemeClr w14:val="tx1"/>
            </w14:solidFill>
          </w14:textFill>
        </w:rPr>
        <w:t>报</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县发改局</w:t>
      </w:r>
      <w:r>
        <w:rPr>
          <w:rFonts w:hint="eastAsia" w:ascii="Times New Roman" w:hAnsi="Times New Roman" w:eastAsia="仿宋_GB2312" w:cs="仿宋_GB2312"/>
          <w:color w:val="000000" w:themeColor="text1"/>
          <w:sz w:val="32"/>
          <w:szCs w:val="32"/>
          <w:u w:val="none"/>
          <w14:textFill>
            <w14:solidFill>
              <w14:schemeClr w14:val="tx1"/>
            </w14:solidFill>
          </w14:textFill>
        </w:rPr>
        <w:t>或者政府赋予项目审批权的其他部门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以下统称审批部门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审批。</w:t>
      </w:r>
    </w:p>
    <w:p w14:paraId="3C869E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一</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项目单位应当加强政府投资项目的前期工作，保证前期工作的深度达到规定的要求</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并对项目建议书、可行性研究报告、初步设计以及依法应当附具的其他文件的真实性负责。</w:t>
      </w:r>
    </w:p>
    <w:p w14:paraId="1577F8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项目建议书应对项目建设的必要性、主要建设内容、拟建地点、拟建规模、投资匡算、资金筹措以及社会效益和经济效益等进行初步分析</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并附相关文件资料。</w:t>
      </w:r>
    </w:p>
    <w:p w14:paraId="27C188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 xml:space="preserve">可行性研究报告应对项目技术经济可行性、社会效益、节能、资源综合利用、生态环境影响、安全生产、社会稳定风险、投资估算以及项目资金等主要建设条件的落实情况进行全面分析论证，明确招标范围、招标组织形式和招标方式，并附法律、行政法规和国家有关规定的项目审批前置手续。 </w:t>
      </w:r>
    </w:p>
    <w:p w14:paraId="6B191F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初步设计应当符合可行性研究报告批复以及国家有关标准和规范的要求</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同时进行安全设施设计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明确各单项工程或者单位工程的建设内容、建设规模、建设标准、用地规模、主要材料、设备规格和技术参数等设计方案</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并据此编制投资概算</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投资概算应当包括工程费用、工程建设其他费用、预备费用等国家规定的项目建设所需的全部费用。</w:t>
      </w:r>
    </w:p>
    <w:p w14:paraId="01F638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除涉及国家秘密的项目外</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项目单位应当通过四川省投资项目在线审批监管平台</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以下简称在线平台</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申报项目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审批部门应当使用在线平台生成的项目代码办理政府投资项目审批手续。项目代码是项目整个建设周期的唯一身份标识。</w:t>
      </w:r>
    </w:p>
    <w:p w14:paraId="17888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审批部门应当通过在线平台列明与政府投资有关的规划、产业政策等</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公开政府投资项目审批的办理流程、办理时限等</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并为项目单位提供相关咨询服务。</w:t>
      </w:r>
    </w:p>
    <w:p w14:paraId="2B4EF8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lang w:eastAsia="zh-CN"/>
          <w14:textFill>
            <w14:solidFill>
              <w14:schemeClr w14:val="tx1"/>
            </w14:solidFill>
          </w14:textFill>
        </w:rPr>
      </w:pPr>
    </w:p>
    <w:p w14:paraId="45E124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lang w:eastAsia="zh-CN"/>
          <w14:textFill>
            <w14:solidFill>
              <w14:schemeClr w14:val="tx1"/>
            </w14:solidFill>
          </w14:textFill>
        </w:rPr>
        <w:t>第三章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政府投资项目审批</w:t>
      </w:r>
    </w:p>
    <w:p w14:paraId="1713E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00CD50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三</w:t>
      </w:r>
      <w:r>
        <w:rPr>
          <w:rFonts w:hint="eastAsia" w:ascii="Times New Roman" w:hAnsi="Times New Roman" w:eastAsia="黑体" w:cs="黑体"/>
          <w:color w:val="000000" w:themeColor="text1"/>
          <w:sz w:val="32"/>
          <w:szCs w:val="32"/>
          <w:u w:val="none"/>
          <w14:textFill>
            <w14:solidFill>
              <w14:schemeClr w14:val="tx1"/>
            </w14:solidFill>
          </w14:textFill>
        </w:rPr>
        <w:t xml:space="preserve">条 </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审批部门应当根据国民经济和社会发展规划、相关领域专项规划、产业政策等</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从下列方面对政府投资项目进行审查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作出是否批准的决定:</w:t>
      </w:r>
    </w:p>
    <w:p w14:paraId="5FCC06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仿宋_GB2312"/>
          <w:color w:val="000000" w:themeColor="text1"/>
          <w:sz w:val="32"/>
          <w:szCs w:val="32"/>
          <w:u w:val="none"/>
          <w14:textFill>
            <w14:solidFill>
              <w14:schemeClr w14:val="tx1"/>
            </w14:solidFill>
          </w14:textFill>
        </w:rPr>
        <w:t>项目建议书提出的项目建设的必要性;</w:t>
      </w:r>
    </w:p>
    <w:p w14:paraId="60B725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（二）</w:t>
      </w:r>
      <w:r>
        <w:rPr>
          <w:rFonts w:hint="eastAsia" w:ascii="Times New Roman" w:hAnsi="Times New Roman" w:eastAsia="仿宋_GB2312" w:cs="仿宋_GB2312"/>
          <w:color w:val="000000" w:themeColor="text1"/>
          <w:sz w:val="32"/>
          <w:szCs w:val="32"/>
          <w:u w:val="none"/>
          <w14:textFill>
            <w14:solidFill>
              <w14:schemeClr w14:val="tx1"/>
            </w14:solidFill>
          </w14:textFill>
        </w:rPr>
        <w:t>可行性研究报告分析的项目技术经济可行性、社会效益以及项目资金等主要建设条件的落实情况。加强资金来源论证审查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强化资金闭环管理。涉及举债融资的项目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应当重点评估论证融资方案;</w:t>
      </w:r>
    </w:p>
    <w:p w14:paraId="4DC65C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（三）</w:t>
      </w:r>
      <w:r>
        <w:rPr>
          <w:rFonts w:hint="eastAsia" w:ascii="Times New Roman" w:hAnsi="Times New Roman" w:eastAsia="仿宋_GB2312" w:cs="仿宋_GB2312"/>
          <w:color w:val="000000" w:themeColor="text1"/>
          <w:sz w:val="32"/>
          <w:szCs w:val="32"/>
          <w:u w:val="none"/>
          <w14:textFill>
            <w14:solidFill>
              <w14:schemeClr w14:val="tx1"/>
            </w14:solidFill>
          </w14:textFill>
        </w:rPr>
        <w:t>初步设计及其提出的投资概算是否符合可行性研究报告批复以及国家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、省、</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市</w:t>
      </w:r>
      <w:r>
        <w:rPr>
          <w:rFonts w:hint="eastAsia" w:ascii="Times New Roman" w:hAnsi="Times New Roman" w:eastAsia="仿宋_GB2312" w:cs="仿宋_GB2312"/>
          <w:color w:val="000000" w:themeColor="text1"/>
          <w:sz w:val="32"/>
          <w:szCs w:val="32"/>
          <w:u w:val="none"/>
          <w14:textFill>
            <w14:solidFill>
              <w14:schemeClr w14:val="tx1"/>
            </w14:solidFill>
          </w14:textFill>
        </w:rPr>
        <w:t>有关标准和规范的要求;</w:t>
      </w:r>
    </w:p>
    <w:p w14:paraId="39F37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（四）</w:t>
      </w:r>
      <w:r>
        <w:rPr>
          <w:rFonts w:hint="eastAsia" w:ascii="Times New Roman" w:hAnsi="Times New Roman" w:eastAsia="仿宋_GB2312" w:cs="仿宋_GB2312"/>
          <w:color w:val="000000" w:themeColor="text1"/>
          <w:sz w:val="32"/>
          <w:szCs w:val="32"/>
          <w:u w:val="none"/>
          <w14:textFill>
            <w14:solidFill>
              <w14:schemeClr w14:val="tx1"/>
            </w14:solidFill>
          </w14:textFill>
        </w:rPr>
        <w:t>依照法律、行政法规和国家有关规定应当审查的其他事项。</w:t>
      </w:r>
    </w:p>
    <w:p w14:paraId="04EEB69E">
      <w:pPr>
        <w:spacing w:line="560" w:lineRule="exact"/>
        <w:ind w:firstLine="640" w:firstLineChars="200"/>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pPr>
      <w:r>
        <w:rPr>
          <w:rFonts w:hint="eastAsia" w:ascii="Times New Roman" w:hAnsi="Times New Roman" w:eastAsia="黑体" w:cs="黑体"/>
          <w:color w:val="000000" w:themeColor="text1"/>
          <w:sz w:val="32"/>
          <w:szCs w:val="32"/>
          <w:u w:val="none"/>
          <w:lang w:val="en" w:eastAsia="zh-CN"/>
          <w14:textFill>
            <w14:solidFill>
              <w14:schemeClr w14:val="tx1"/>
            </w14:solidFill>
          </w14:textFill>
        </w:rPr>
        <w:t>第十四条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政府投资项目均应严格履行项目建议书、可行性研究报告、初步设计和投资概算审批程序</w:t>
      </w:r>
      <w:r>
        <w:rPr>
          <w:rFonts w:hint="eastAsia" w:eastAsia="仿宋_GB2312" w:cs="仿宋_GB2312"/>
          <w:color w:val="000000" w:themeColor="text1"/>
          <w:sz w:val="32"/>
          <w:szCs w:val="32"/>
          <w:u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党中央、国务院有明确要求或者法律法规有明确规定</w:t>
      </w:r>
      <w:r>
        <w:rPr>
          <w:rFonts w:hint="eastAsia" w:eastAsia="仿宋_GB2312" w:cs="仿宋_GB2312"/>
          <w:color w:val="000000" w:themeColor="text1"/>
          <w:sz w:val="32"/>
          <w:szCs w:val="32"/>
          <w:u w:val="none"/>
          <w:lang w:val="en-US" w:eastAsia="zh-CN"/>
          <w14:textFill>
            <w14:solidFill>
              <w14:schemeClr w14:val="tx1"/>
            </w14:solidFill>
          </w14:textFill>
        </w:rPr>
        <w:t>的</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除外</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w:t>
      </w:r>
    </w:p>
    <w:p w14:paraId="42C9DA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lang w:val="en"/>
          <w14:textFill>
            <w14:solidFill>
              <w14:schemeClr w14:val="tx1"/>
            </w14:solidFill>
          </w14:textFill>
        </w:rPr>
        <w:t>第十</w:t>
      </w:r>
      <w:r>
        <w:rPr>
          <w:rFonts w:hint="eastAsia" w:ascii="Times New Roman" w:hAnsi="Times New Roman" w:eastAsia="黑体" w:cs="黑体"/>
          <w:color w:val="000000" w:themeColor="text1"/>
          <w:sz w:val="32"/>
          <w:szCs w:val="32"/>
          <w:u w:val="none"/>
          <w:lang w:val="en" w:eastAsia="zh-CN"/>
          <w14:textFill>
            <w14:solidFill>
              <w14:schemeClr w14:val="tx1"/>
            </w14:solidFill>
          </w14:textFill>
        </w:rPr>
        <w:t>五</w:t>
      </w:r>
      <w:r>
        <w:rPr>
          <w:rFonts w:hint="eastAsia" w:ascii="Times New Roman" w:hAnsi="Times New Roman" w:eastAsia="黑体" w:cs="黑体"/>
          <w:color w:val="000000" w:themeColor="text1"/>
          <w:sz w:val="32"/>
          <w:szCs w:val="32"/>
          <w:u w:val="none"/>
          <w:lang w:val="en"/>
          <w14:textFill>
            <w14:solidFill>
              <w14:schemeClr w14:val="tx1"/>
            </w14:solidFill>
          </w14:textFill>
        </w:rPr>
        <w:t>条</w:t>
      </w:r>
      <w:r>
        <w:rPr>
          <w:rFonts w:hint="eastAsia" w:ascii="Times New Roman" w:hAnsi="Times New Roman" w:eastAsia="仿宋_GB2312" w:cs="仿宋_GB2312"/>
          <w:color w:val="000000" w:themeColor="text1"/>
          <w:sz w:val="32"/>
          <w:szCs w:val="32"/>
          <w:u w:val="none"/>
          <w14:textFill>
            <w14:solidFill>
              <w14:schemeClr w14:val="tx1"/>
            </w14:solidFill>
          </w14:textFill>
        </w:rPr>
        <w:t xml:space="preserve">  审批部门对</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经评审通过、</w:t>
      </w:r>
      <w:r>
        <w:rPr>
          <w:rFonts w:hint="eastAsia" w:ascii="Times New Roman" w:hAnsi="Times New Roman" w:eastAsia="仿宋_GB2312" w:cs="仿宋_GB2312"/>
          <w:color w:val="000000" w:themeColor="text1"/>
          <w:sz w:val="32"/>
          <w:szCs w:val="32"/>
          <w:u w:val="none"/>
          <w14:textFill>
            <w14:solidFill>
              <w14:schemeClr w14:val="tx1"/>
            </w14:solidFill>
          </w14:textFill>
        </w:rPr>
        <w:t>符合有关规定、具备建</w:t>
      </w:r>
      <w:r>
        <w:rPr>
          <w:rFonts w:hint="eastAsia" w:ascii="Times New Roman" w:hAnsi="Times New Roman" w:eastAsia="仿宋_GB2312"/>
          <w:color w:val="000000" w:themeColor="text1"/>
          <w:sz w:val="32"/>
          <w:szCs w:val="32"/>
          <w:u w:val="none"/>
          <w14:textFill>
            <w14:solidFill>
              <w14:schemeClr w14:val="tx1"/>
            </w14:solidFill>
          </w14:textFill>
        </w:rPr>
        <w:t>设条件的项目，批准可行性研究报告，并将批复文件抄送同级</w:t>
      </w:r>
      <w:r>
        <w:rPr>
          <w:rFonts w:hint="eastAsia" w:ascii="Times New Roman" w:hAnsi="Times New Roman" w:eastAsia="仿宋_GB2312"/>
          <w:color w:val="000000" w:themeColor="text1"/>
          <w:sz w:val="32"/>
          <w:szCs w:val="32"/>
          <w:u w:val="none"/>
          <w:lang w:eastAsia="zh-CN"/>
          <w14:textFill>
            <w14:solidFill>
              <w14:schemeClr w14:val="tx1"/>
            </w14:solidFill>
          </w14:textFill>
        </w:rPr>
        <w:t>发改、</w:t>
      </w:r>
      <w:r>
        <w:rPr>
          <w:rFonts w:hint="eastAsia" w:ascii="Times New Roman" w:hAnsi="Times New Roman" w:eastAsia="仿宋_GB2312"/>
          <w:color w:val="000000" w:themeColor="text1"/>
          <w:sz w:val="32"/>
          <w:szCs w:val="32"/>
          <w:u w:val="none"/>
          <w14:textFill>
            <w14:solidFill>
              <w14:schemeClr w14:val="tx1"/>
            </w14:solidFill>
          </w14:textFill>
        </w:rPr>
        <w:t>财政、自然资源、</w:t>
      </w:r>
      <w:r>
        <w:rPr>
          <w:rFonts w:hint="eastAsia" w:ascii="Times New Roman" w:hAnsi="Times New Roman" w:eastAsia="仿宋_GB2312"/>
          <w:color w:val="000000" w:themeColor="text1"/>
          <w:sz w:val="32"/>
          <w:szCs w:val="32"/>
          <w:u w:val="none"/>
          <w:lang w:eastAsia="zh-CN"/>
          <w14:textFill>
            <w14:solidFill>
              <w14:schemeClr w14:val="tx1"/>
            </w14:solidFill>
          </w14:textFill>
        </w:rPr>
        <w:t>生态环境、住建</w:t>
      </w:r>
      <w:r>
        <w:rPr>
          <w:rFonts w:hint="eastAsia" w:ascii="Times New Roman" w:hAnsi="Times New Roman" w:eastAsia="仿宋_GB2312"/>
          <w:color w:val="000000" w:themeColor="text1"/>
          <w:sz w:val="32"/>
          <w:szCs w:val="32"/>
          <w:u w:val="none"/>
          <w14:textFill>
            <w14:solidFill>
              <w14:schemeClr w14:val="tx1"/>
            </w14:solidFill>
          </w14:textFill>
        </w:rPr>
        <w:t>等相关部门。</w:t>
      </w:r>
    </w:p>
    <w:p w14:paraId="158F1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六</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olor w:val="000000" w:themeColor="text1"/>
          <w:sz w:val="32"/>
          <w:szCs w:val="32"/>
          <w:u w:val="none"/>
          <w14:textFill>
            <w14:solidFill>
              <w14:schemeClr w14:val="tx1"/>
            </w14:solidFill>
          </w14:textFill>
        </w:rPr>
        <w:t xml:space="preserve">  </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县本级</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的</w:t>
      </w:r>
      <w:r>
        <w:rPr>
          <w:rFonts w:hint="eastAsia" w:ascii="Times New Roman" w:hAnsi="Times New Roman" w:eastAsia="仿宋_GB2312" w:cs="仿宋_GB2312"/>
          <w:color w:val="000000" w:themeColor="text1"/>
          <w:sz w:val="32"/>
          <w:szCs w:val="32"/>
          <w:u w:val="none"/>
          <w14:textFill>
            <w14:solidFill>
              <w14:schemeClr w14:val="tx1"/>
            </w14:solidFill>
          </w14:textFill>
        </w:rPr>
        <w:t>项目建议书、可行性研究报告、初步设计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等</w:t>
      </w:r>
      <w:r>
        <w:rPr>
          <w:rFonts w:hint="eastAsia" w:ascii="Times New Roman" w:hAnsi="Times New Roman" w:eastAsia="仿宋_GB2312" w:cs="仿宋_GB2312"/>
          <w:color w:val="000000" w:themeColor="text1"/>
          <w:sz w:val="32"/>
          <w:szCs w:val="32"/>
          <w:u w:val="none"/>
          <w14:textFill>
            <w14:solidFill>
              <w14:schemeClr w14:val="tx1"/>
            </w14:solidFill>
          </w14:textFill>
        </w:rPr>
        <w:t>批复文件</w:t>
      </w:r>
      <w:r>
        <w:rPr>
          <w:rFonts w:hint="eastAsia" w:ascii="Times New Roman" w:hAnsi="Times New Roman" w:eastAsia="仿宋_GB2312"/>
          <w:color w:val="000000" w:themeColor="text1"/>
          <w:sz w:val="32"/>
          <w:szCs w:val="32"/>
          <w:u w:val="none"/>
          <w14:textFill>
            <w14:solidFill>
              <w14:schemeClr w14:val="tx1"/>
            </w14:solidFill>
          </w14:textFill>
        </w:rPr>
        <w:t>自印发之日起</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2年内</w:t>
      </w:r>
      <w:r>
        <w:rPr>
          <w:rFonts w:hint="eastAsia" w:ascii="Times New Roman" w:hAnsi="Times New Roman" w:eastAsia="仿宋_GB2312"/>
          <w:color w:val="000000" w:themeColor="text1"/>
          <w:sz w:val="32"/>
          <w:szCs w:val="32"/>
          <w:u w:val="none"/>
          <w14:textFill>
            <w14:solidFill>
              <w14:schemeClr w14:val="tx1"/>
            </w14:solidFill>
          </w14:textFill>
        </w:rPr>
        <w:t>有效</w:t>
      </w:r>
      <w:r>
        <w:rPr>
          <w:rFonts w:hint="eastAsia" w:ascii="Times New Roman" w:hAnsi="Times New Roman" w:eastAsia="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政府投资项目</w:t>
      </w:r>
      <w:r>
        <w:rPr>
          <w:rFonts w:hint="eastAsia" w:ascii="Times New Roman" w:hAnsi="Times New Roman" w:eastAsia="仿宋_GB2312"/>
          <w:color w:val="000000" w:themeColor="text1"/>
          <w:sz w:val="32"/>
          <w:szCs w:val="32"/>
          <w:u w:val="none"/>
          <w14:textFill>
            <w14:solidFill>
              <w14:schemeClr w14:val="tx1"/>
            </w14:solidFill>
          </w14:textFill>
        </w:rPr>
        <w:t>在</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批复文件</w:t>
      </w:r>
      <w:r>
        <w:rPr>
          <w:rFonts w:hint="eastAsia" w:ascii="Times New Roman" w:hAnsi="Times New Roman" w:eastAsia="仿宋_GB2312"/>
          <w:color w:val="000000" w:themeColor="text1"/>
          <w:sz w:val="32"/>
          <w:szCs w:val="32"/>
          <w:u w:val="none"/>
          <w14:textFill>
            <w14:solidFill>
              <w14:schemeClr w14:val="tx1"/>
            </w14:solidFill>
          </w14:textFill>
        </w:rPr>
        <w:t>有效期内未开工建设的，项目单位可向</w:t>
      </w:r>
      <w:r>
        <w:rPr>
          <w:rFonts w:hint="eastAsia" w:ascii="Times New Roman" w:hAnsi="Times New Roman" w:eastAsia="仿宋_GB2312"/>
          <w:color w:val="000000" w:themeColor="text1"/>
          <w:sz w:val="32"/>
          <w:szCs w:val="32"/>
          <w:u w:val="none"/>
          <w:lang w:eastAsia="zh-CN"/>
          <w14:textFill>
            <w14:solidFill>
              <w14:schemeClr w14:val="tx1"/>
            </w14:solidFill>
          </w14:textFill>
        </w:rPr>
        <w:t>审批部门</w:t>
      </w:r>
      <w:r>
        <w:rPr>
          <w:rFonts w:hint="eastAsia" w:ascii="Times New Roman" w:hAnsi="Times New Roman" w:eastAsia="仿宋_GB2312"/>
          <w:color w:val="000000" w:themeColor="text1"/>
          <w:sz w:val="32"/>
          <w:szCs w:val="32"/>
          <w:u w:val="none"/>
          <w14:textFill>
            <w14:solidFill>
              <w14:schemeClr w14:val="tx1"/>
            </w14:solidFill>
          </w14:textFill>
        </w:rPr>
        <w:t>申请1次延期，且延长</w:t>
      </w:r>
      <w:r>
        <w:rPr>
          <w:rFonts w:hint="eastAsia" w:ascii="Times New Roman" w:hAnsi="Times New Roman" w:eastAsia="仿宋_GB2312"/>
          <w:color w:val="000000" w:themeColor="text1"/>
          <w:sz w:val="32"/>
          <w:szCs w:val="32"/>
          <w:u w:val="none"/>
          <w:lang w:eastAsia="zh-CN"/>
          <w14:textFill>
            <w14:solidFill>
              <w14:schemeClr w14:val="tx1"/>
            </w14:solidFill>
          </w14:textFill>
        </w:rPr>
        <w:t>期限</w:t>
      </w:r>
      <w:r>
        <w:rPr>
          <w:rFonts w:hint="eastAsia" w:ascii="Times New Roman" w:hAnsi="Times New Roman" w:eastAsia="仿宋_GB2312"/>
          <w:color w:val="000000" w:themeColor="text1"/>
          <w:sz w:val="32"/>
          <w:szCs w:val="32"/>
          <w:u w:val="none"/>
          <w14:textFill>
            <w14:solidFill>
              <w14:schemeClr w14:val="tx1"/>
            </w14:solidFill>
          </w14:textFill>
        </w:rPr>
        <w:t>不得超过1年。</w:t>
      </w:r>
    </w:p>
    <w:p w14:paraId="48961D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审批部门对政府投资项目不予批准的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应当书面通知项目单位并说明理由。</w:t>
      </w:r>
    </w:p>
    <w:p w14:paraId="35E203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七</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对经济社会发展、社会公众利益有重大影响或者</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投资规模较大</w:t>
      </w:r>
      <w:r>
        <w:rPr>
          <w:rFonts w:hint="eastAsia" w:ascii="Times New Roman" w:hAnsi="Times New Roman" w:eastAsia="仿宋_GB2312" w:cs="仿宋_GB2312"/>
          <w:color w:val="000000" w:themeColor="text1"/>
          <w:sz w:val="32"/>
          <w:szCs w:val="32"/>
          <w:u w:val="none"/>
          <w14:textFill>
            <w14:solidFill>
              <w14:schemeClr w14:val="tx1"/>
            </w14:solidFill>
          </w14:textFill>
        </w:rPr>
        <w:t>的政府投资项目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审批部门应当在中介服务机构评估、公众参与、专家评议、风险评估的基础上</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履行集体决策程序作出决定。可能对市场竞争状况造成较大影响的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应进行公平竞争审查。</w:t>
      </w:r>
    </w:p>
    <w:p w14:paraId="5D0F8F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lang w:eastAsia="zh-CN"/>
          <w14:textFill>
            <w14:solidFill>
              <w14:schemeClr w14:val="tx1"/>
            </w14:solidFill>
          </w14:textFill>
        </w:rPr>
      </w:pPr>
    </w:p>
    <w:p w14:paraId="1F9C68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lang w:eastAsia="zh-CN"/>
          <w14:textFill>
            <w14:solidFill>
              <w14:schemeClr w14:val="tx1"/>
            </w14:solidFill>
          </w14:textFill>
        </w:rPr>
        <w:t>第四章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政府投资项目初设及概算管理</w:t>
      </w:r>
    </w:p>
    <w:p w14:paraId="3C420A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lang w:eastAsia="zh-CN"/>
          <w14:textFill>
            <w14:solidFill>
              <w14:schemeClr w14:val="tx1"/>
            </w14:solidFill>
          </w14:textFill>
        </w:rPr>
      </w:pPr>
    </w:p>
    <w:p w14:paraId="0FA42F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lang w:eastAsia="zh-CN"/>
          <w14:textFill>
            <w14:solidFill>
              <w14:schemeClr w14:val="tx1"/>
            </w14:solidFill>
          </w14:textFill>
        </w:rPr>
        <w:t>第十八条</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由</w:t>
      </w:r>
      <w:r>
        <w:rPr>
          <w:rFonts w:hint="eastAsia" w:eastAsia="仿宋_GB2312" w:cs="仿宋_GB2312"/>
          <w:color w:val="000000" w:themeColor="text1"/>
          <w:sz w:val="32"/>
          <w:szCs w:val="32"/>
          <w:u w:val="none"/>
          <w:lang w:val="en-US" w:eastAsia="zh-CN"/>
          <w14:textFill>
            <w14:solidFill>
              <w14:schemeClr w14:val="tx1"/>
            </w14:solidFill>
          </w14:textFill>
        </w:rPr>
        <w:t>县发改局</w:t>
      </w:r>
      <w:r>
        <w:rPr>
          <w:rFonts w:hint="eastAsia" w:ascii="Times New Roman" w:hAnsi="Times New Roman" w:eastAsia="仿宋_GB2312" w:cs="仿宋_GB2312"/>
          <w:color w:val="000000" w:themeColor="text1"/>
          <w:sz w:val="32"/>
          <w:szCs w:val="32"/>
          <w:u w:val="none"/>
          <w14:textFill>
            <w14:solidFill>
              <w14:schemeClr w14:val="tx1"/>
            </w14:solidFill>
          </w14:textFill>
        </w:rPr>
        <w:t>负责审批的政府投资项目初步设计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相关行业主管部门应出具行业审查意见。</w:t>
      </w:r>
    </w:p>
    <w:p w14:paraId="23E05C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房屋建筑和市政基础设施项目由</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14:textFill>
            <w14:solidFill>
              <w14:schemeClr w14:val="tx1"/>
            </w14:solidFill>
          </w14:textFill>
        </w:rPr>
        <w:t>住建</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局</w:t>
      </w:r>
      <w:r>
        <w:rPr>
          <w:rFonts w:hint="eastAsia" w:ascii="Times New Roman" w:hAnsi="Times New Roman" w:eastAsia="仿宋_GB2312" w:cs="仿宋_GB2312"/>
          <w:color w:val="000000" w:themeColor="text1"/>
          <w:sz w:val="32"/>
          <w:szCs w:val="32"/>
          <w:u w:val="none"/>
          <w14:textFill>
            <w14:solidFill>
              <w14:schemeClr w14:val="tx1"/>
            </w14:solidFill>
          </w14:textFill>
        </w:rPr>
        <w:t>出具初步设计行业技术审查意见。</w:t>
      </w:r>
    </w:p>
    <w:p w14:paraId="57822E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000000" w:themeColor="text1"/>
          <w:sz w:val="32"/>
          <w:szCs w:val="32"/>
          <w:u w:val="none"/>
          <w:lang w:eastAsia="zh-CN"/>
          <w14:textFill>
            <w14:solidFill>
              <w14:schemeClr w14:val="tx1"/>
            </w14:solidFill>
          </w14:textFill>
        </w:rPr>
      </w:pP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第十九条</w:t>
      </w:r>
      <w:r>
        <w:rPr>
          <w:rFonts w:hint="eastAsia" w:ascii="Times New Roman" w:hAnsi="Times New Roman" w:eastAsia="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审批</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部门</w:t>
      </w:r>
      <w:r>
        <w:rPr>
          <w:rFonts w:hint="eastAsia" w:ascii="Times New Roman" w:hAnsi="Times New Roman" w:eastAsia="仿宋_GB2312" w:cs="仿宋_GB2312"/>
          <w:color w:val="000000" w:themeColor="text1"/>
          <w:sz w:val="32"/>
          <w:szCs w:val="32"/>
          <w:u w:val="none"/>
          <w14:textFill>
            <w14:solidFill>
              <w14:schemeClr w14:val="tx1"/>
            </w14:solidFill>
          </w14:textFill>
        </w:rPr>
        <w:t>核定的投资概算是控制政府投资项目总投资的依据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，未经核定概算的项目不得开工建设</w:t>
      </w:r>
      <w:r>
        <w:rPr>
          <w:rFonts w:hint="eastAsia" w:ascii="Times New Roman" w:hAnsi="Times New Roman" w:eastAsia="仿宋_GB2312" w:cs="仿宋_GB2312"/>
          <w:color w:val="000000" w:themeColor="text1"/>
          <w:sz w:val="32"/>
          <w:szCs w:val="32"/>
          <w:u w:val="none"/>
          <w14:textFill>
            <w14:solidFill>
              <w14:schemeClr w14:val="tx1"/>
            </w14:solidFill>
          </w14:textFill>
        </w:rPr>
        <w:t>。</w:t>
      </w:r>
      <w:r>
        <w:rPr>
          <w:rFonts w:hint="eastAsia" w:ascii="Times New Roman" w:hAnsi="Times New Roman" w:eastAsia="仿宋_GB2312"/>
          <w:color w:val="000000" w:themeColor="text1"/>
          <w:sz w:val="32"/>
          <w:szCs w:val="32"/>
          <w:u w:val="none"/>
          <w14:textFill>
            <w14:solidFill>
              <w14:schemeClr w14:val="tx1"/>
            </w14:solidFill>
          </w14:textFill>
        </w:rPr>
        <w:t>投资概算应当包括工程费用、工程建设其他费用、预备费</w:t>
      </w:r>
      <w:r>
        <w:rPr>
          <w:rFonts w:hint="eastAsia" w:ascii="Times New Roman" w:hAnsi="Times New Roman" w:eastAsia="仿宋_GB2312"/>
          <w:color w:val="000000" w:themeColor="text1"/>
          <w:sz w:val="32"/>
          <w:szCs w:val="32"/>
          <w:u w:val="none"/>
          <w:lang w:eastAsia="zh-CN"/>
          <w14:textFill>
            <w14:solidFill>
              <w14:schemeClr w14:val="tx1"/>
            </w14:solidFill>
          </w14:textFill>
        </w:rPr>
        <w:t>用</w:t>
      </w:r>
      <w:r>
        <w:rPr>
          <w:rFonts w:hint="eastAsia" w:ascii="Times New Roman" w:hAnsi="Times New Roman" w:eastAsia="仿宋_GB2312"/>
          <w:color w:val="000000" w:themeColor="text1"/>
          <w:sz w:val="32"/>
          <w:szCs w:val="32"/>
          <w:u w:val="none"/>
          <w14:textFill>
            <w14:solidFill>
              <w14:schemeClr w14:val="tx1"/>
            </w14:solidFill>
          </w14:textFill>
        </w:rPr>
        <w:t>等国家规定的项目建设所需的全部费用</w:t>
      </w:r>
      <w:r>
        <w:rPr>
          <w:rFonts w:hint="eastAsia" w:ascii="Times New Roman" w:hAnsi="Times New Roman" w:eastAsia="仿宋_GB2312"/>
          <w:color w:val="000000" w:themeColor="text1"/>
          <w:sz w:val="32"/>
          <w:szCs w:val="32"/>
          <w:u w:val="none"/>
          <w:lang w:eastAsia="zh-CN"/>
          <w14:textFill>
            <w14:solidFill>
              <w14:schemeClr w14:val="tx1"/>
            </w14:solidFill>
          </w14:textFill>
        </w:rPr>
        <w:t>。</w:t>
      </w:r>
    </w:p>
    <w:p w14:paraId="6A2DCD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初步设计提出的投资概算超过经批准的可行性研究报告提出的投资估算10%的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项目单位应当向审批部门报告</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审批部门可以要求项目单位</w:t>
      </w:r>
      <w:r>
        <w:rPr>
          <w:rFonts w:hint="eastAsia" w:ascii="Times New Roman" w:hAnsi="Times New Roman" w:eastAsia="仿宋_GB2312" w:cs="仿宋_GB2312"/>
          <w:color w:val="000000" w:themeColor="text1"/>
          <w:sz w:val="32"/>
          <w:szCs w:val="32"/>
          <w:u w:val="none"/>
          <w14:textFill>
            <w14:solidFill>
              <w14:schemeClr w14:val="tx1"/>
            </w14:solidFill>
          </w14:textFill>
        </w:rPr>
        <w:t>重新</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报送</w:t>
      </w:r>
      <w:r>
        <w:rPr>
          <w:rFonts w:hint="eastAsia" w:ascii="Times New Roman" w:hAnsi="Times New Roman" w:eastAsia="仿宋_GB2312" w:cs="仿宋_GB2312"/>
          <w:color w:val="000000" w:themeColor="text1"/>
          <w:sz w:val="32"/>
          <w:szCs w:val="32"/>
          <w:u w:val="none"/>
          <w14:textFill>
            <w14:solidFill>
              <w14:schemeClr w14:val="tx1"/>
            </w14:solidFill>
          </w14:textFill>
        </w:rPr>
        <w:t>可行性研究报告。</w:t>
      </w:r>
    </w:p>
    <w:p w14:paraId="19ACB15A">
      <w:pPr>
        <w:pStyle w:val="11"/>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仿宋_GB2312"/>
          <w:color w:val="000000" w:themeColor="text1"/>
          <w:sz w:val="32"/>
          <w:szCs w:val="32"/>
          <w:u w:val="none"/>
          <w:lang w:val="en-US" w:eastAsia="zh-CN" w:bidi="ar-SA"/>
          <w14:textFill>
            <w14:solidFill>
              <w14:schemeClr w14:val="tx1"/>
            </w14:solidFill>
          </w14:textFill>
        </w:rPr>
      </w:pPr>
      <w:r>
        <w:rPr>
          <w:rFonts w:hint="eastAsia" w:ascii="Times New Roman" w:hAnsi="Times New Roman" w:eastAsia="黑体" w:cs="黑体"/>
          <w:color w:val="000000" w:themeColor="text1"/>
          <w:kern w:val="0"/>
          <w:sz w:val="32"/>
          <w:szCs w:val="32"/>
          <w:u w:val="none"/>
          <w:lang w:val="en-US" w:eastAsia="zh-CN" w:bidi="ar-SA"/>
          <w14:textFill>
            <w14:solidFill>
              <w14:schemeClr w14:val="tx1"/>
            </w14:solidFill>
          </w14:textFill>
        </w:rPr>
        <w:t>第二十条</w:t>
      </w:r>
      <w:r>
        <w:rPr>
          <w:rFonts w:hint="eastAsia" w:ascii="Times New Roman" w:hAnsi="Times New Roman" w:eastAsia="仿宋_GB2312" w:cs="仿宋_GB2312"/>
          <w:color w:val="000000" w:themeColor="text1"/>
          <w:kern w:val="0"/>
          <w:sz w:val="32"/>
          <w:szCs w:val="32"/>
          <w:u w:val="none"/>
          <w:lang w:val="en-US" w:eastAsia="zh-CN" w:bidi="ar-SA"/>
          <w14:textFill>
            <w14:solidFill>
              <w14:schemeClr w14:val="tx1"/>
            </w14:solidFill>
          </w14:textFill>
        </w:rPr>
        <w:t xml:space="preserve">  项目初步设计及其提出的投资概算批复后，应当严格执行，任何单位及个人不得擅自增加建设内容、扩大建设规模、提高建设</w:t>
      </w:r>
      <w:r>
        <w:rPr>
          <w:rFonts w:hint="eastAsia" w:ascii="Times New Roman" w:hAnsi="Times New Roman" w:eastAsia="仿宋_GB2312" w:cs="仿宋_GB2312"/>
          <w:color w:val="000000" w:themeColor="text1"/>
          <w:kern w:val="0"/>
          <w:sz w:val="32"/>
          <w:szCs w:val="32"/>
          <w:u w:val="none"/>
          <w:shd w:val="clear" w:color="auto" w:fill="auto"/>
          <w:lang w:val="en-US" w:eastAsia="zh-CN" w:bidi="ar-SA"/>
          <w14:textFill>
            <w14:solidFill>
              <w14:schemeClr w14:val="tx1"/>
            </w14:solidFill>
          </w14:textFill>
        </w:rPr>
        <w:t>标准或改变设计方案。项目因建设期内国家政策调整、价格上涨、地质条件发生重大变化等原因确需增加投资概算的，</w:t>
      </w:r>
      <w:r>
        <w:rPr>
          <w:rFonts w:hint="eastAsia" w:ascii="Times New Roman" w:hAnsi="Times New Roman" w:eastAsia="仿宋_GB2312" w:cs="仿宋_GB2312"/>
          <w:color w:val="000000" w:themeColor="text1"/>
          <w:spacing w:val="0"/>
          <w:kern w:val="0"/>
          <w:sz w:val="32"/>
          <w:szCs w:val="32"/>
          <w:lang w:val="en-US" w:bidi="ar-SA"/>
          <w14:textFill>
            <w14:solidFill>
              <w14:schemeClr w14:val="tx1"/>
            </w14:solidFill>
          </w14:textFill>
        </w:rPr>
        <w:t>项目单位应按规定程序正式申报；未经批准的，不得擅自调整实施</w:t>
      </w:r>
      <w:r>
        <w:rPr>
          <w:rFonts w:hint="eastAsia" w:ascii="Times New Roman" w:hAnsi="Times New Roman" w:eastAsia="仿宋_GB2312" w:cs="仿宋_GB2312"/>
          <w:color w:val="000000" w:themeColor="text1"/>
          <w:kern w:val="0"/>
          <w:sz w:val="32"/>
          <w:szCs w:val="32"/>
          <w:u w:val="none"/>
          <w:lang w:val="en-US" w:eastAsia="zh-CN" w:bidi="ar-SA"/>
          <w14:textFill>
            <w14:solidFill>
              <w14:schemeClr w14:val="tx1"/>
            </w14:solidFill>
          </w14:textFill>
        </w:rPr>
        <w:t>。</w:t>
      </w:r>
    </w:p>
    <w:p w14:paraId="1BFC489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第二十一条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申请调整概算的，应提交以下申报材料:</w:t>
      </w:r>
    </w:p>
    <w:p w14:paraId="7D60295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（一）项目单位的项目调整概算申请文件；</w:t>
      </w:r>
    </w:p>
    <w:p w14:paraId="3B28E9E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（二）原可行性研究报告批复文件;</w:t>
      </w:r>
    </w:p>
    <w:p w14:paraId="71C879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（三）原初步设计及其提出的投资概算批复文件;</w:t>
      </w:r>
    </w:p>
    <w:p w14:paraId="3EA54153">
      <w:pPr>
        <w:pageBreakBefore w:val="0"/>
        <w:widowControl w:val="0"/>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（四）调整概算书，调整概算与原核定概算对比表，并分类定量说明调整概算的原因、依据和计算方法;</w:t>
      </w:r>
    </w:p>
    <w:p w14:paraId="02C37C26">
      <w:pPr>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（五）</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与调整概算有关的招标及合同文件，包括变更洽商部分;</w:t>
      </w:r>
    </w:p>
    <w:p w14:paraId="47395EF5">
      <w:pPr>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（六）</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施工图设计</w:t>
      </w: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含装修设计</w:t>
      </w: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及预算文件;</w:t>
      </w:r>
    </w:p>
    <w:p w14:paraId="5026D896">
      <w:pPr>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（七）</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概算调增部分资金来源方案;</w:t>
      </w:r>
    </w:p>
    <w:p w14:paraId="7A4D954E">
      <w:pPr>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（八）</w:t>
      </w: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调整概算所需的其他材料。</w:t>
      </w:r>
    </w:p>
    <w:p w14:paraId="2BBB1516">
      <w:pPr>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pPr>
      <w:r>
        <w:rPr>
          <w:rFonts w:hint="default" w:ascii="Times New Roman" w:hAnsi="Times New Roman" w:eastAsia="仿宋_GB2312" w:cs="仿宋_GB2312"/>
          <w:bCs/>
          <w:color w:val="000000" w:themeColor="text1"/>
          <w:kern w:val="2"/>
          <w:sz w:val="32"/>
          <w:szCs w:val="32"/>
          <w:u w:val="none"/>
          <w:lang w:val="en-US" w:eastAsia="zh-CN" w:bidi="ar-SA"/>
          <w14:textFill>
            <w14:solidFill>
              <w14:schemeClr w14:val="tx1"/>
            </w14:solidFill>
          </w14:textFill>
        </w:rPr>
        <w:t>项目单位应对申请材料的真实性负责。</w:t>
      </w:r>
    </w:p>
    <w:p w14:paraId="5BFAC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w:t>
      </w:r>
      <w:r>
        <w:rPr>
          <w:rFonts w:hint="eastAsia" w:ascii="Times New Roman" w:hAnsi="Times New Roman" w:eastAsia="黑体" w:cs="黑体"/>
          <w:color w:val="000000" w:themeColor="text1"/>
          <w:sz w:val="32"/>
          <w:szCs w:val="32"/>
          <w:u w:val="none"/>
          <w14:textFill>
            <w14:solidFill>
              <w14:schemeClr w14:val="tx1"/>
            </w14:solidFill>
          </w14:textFill>
        </w:rPr>
        <w:t>十</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采取投资补助、贷款贴息等方式安排政府投资资金的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项目单位应当按照国家有关规定办理手续。</w:t>
      </w:r>
    </w:p>
    <w:p w14:paraId="56129E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lang w:eastAsia="zh-CN"/>
          <w14:textFill>
            <w14:solidFill>
              <w14:schemeClr w14:val="tx1"/>
            </w14:solidFill>
          </w14:textFill>
        </w:rPr>
      </w:pPr>
    </w:p>
    <w:p w14:paraId="3BC565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lang w:eastAsia="zh-CN"/>
          <w14:textFill>
            <w14:solidFill>
              <w14:schemeClr w14:val="tx1"/>
            </w14:solidFill>
          </w14:textFill>
        </w:rPr>
        <w:t>第五章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政府投资年度计划</w:t>
      </w:r>
    </w:p>
    <w:p w14:paraId="05CD1B77">
      <w:pPr>
        <w:pageBreakBefore w:val="0"/>
        <w:widowControl w:val="0"/>
        <w:kinsoku/>
        <w:wordWrap/>
        <w:overflowPunct/>
        <w:topLinePunct w:val="0"/>
        <w:autoSpaceDE/>
        <w:autoSpaceDN/>
        <w:bidi w:val="0"/>
        <w:adjustRightInd/>
        <w:snapToGrid/>
        <w:spacing w:line="560" w:lineRule="exact"/>
        <w:ind w:firstLine="640" w:firstLineChars="200"/>
        <w:rPr>
          <w:rFonts w:hint="eastAsia" w:ascii="Times New Roman" w:hAnsi="Times New Roman" w:eastAsia="黑体" w:cs="黑体"/>
          <w:color w:val="000000" w:themeColor="text1"/>
          <w:sz w:val="32"/>
          <w:szCs w:val="32"/>
          <w:u w:val="none"/>
          <w14:textFill>
            <w14:solidFill>
              <w14:schemeClr w14:val="tx1"/>
            </w14:solidFill>
          </w14:textFill>
        </w:rPr>
      </w:pPr>
    </w:p>
    <w:p w14:paraId="309CF201">
      <w:pPr>
        <w:pageBreakBefore w:val="0"/>
        <w:widowControl w:val="0"/>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第二十</w:t>
      </w:r>
      <w:r>
        <w:rPr>
          <w:rFonts w:hint="eastAsia" w:eastAsia="黑体" w:cs="黑体"/>
          <w:color w:val="000000" w:themeColor="text1"/>
          <w:sz w:val="32"/>
          <w:szCs w:val="32"/>
          <w:u w:val="none"/>
          <w:lang w:val="en-US" w:eastAsia="zh-CN"/>
          <w14:textFill>
            <w14:solidFill>
              <w14:schemeClr w14:val="tx1"/>
            </w14:solidFill>
          </w14:textFill>
        </w:rPr>
        <w:t>三</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政府投资项目实行年度计划管理。由县</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发改</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局</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会同县财政局等部门，结合国民经济和社会发展规划，组织编制县级年度政府投资计划草案，</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报县政府常务会议审议、县委常委会会议审定</w:t>
      </w:r>
      <w:r>
        <w:rPr>
          <w:rFonts w:hint="eastAsia" w:ascii="Times New Roman" w:hAnsi="Times New Roman" w:eastAsia="仿宋_GB2312"/>
          <w:color w:val="000000" w:themeColor="text1"/>
          <w:sz w:val="32"/>
          <w:szCs w:val="32"/>
          <w:u w:val="none"/>
          <w14:textFill>
            <w14:solidFill>
              <w14:schemeClr w14:val="tx1"/>
            </w14:solidFill>
          </w14:textFill>
        </w:rPr>
        <w:t>。</w:t>
      </w:r>
      <w:r>
        <w:rPr>
          <w:rFonts w:hint="eastAsia" w:ascii="Times New Roman" w:hAnsi="Times New Roman" w:eastAsia="仿宋_GB2312"/>
          <w:color w:val="000000" w:themeColor="text1"/>
          <w:sz w:val="32"/>
          <w:szCs w:val="32"/>
          <w:u w:val="none"/>
          <w:lang w:eastAsia="zh-CN"/>
          <w14:textFill>
            <w14:solidFill>
              <w14:schemeClr w14:val="tx1"/>
            </w14:solidFill>
          </w14:textFill>
        </w:rPr>
        <w:t>根据计划实施情况，需进行中期调整的，须按原审批程序报请审定。</w:t>
      </w:r>
    </w:p>
    <w:p w14:paraId="0E0BC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第二十</w:t>
      </w:r>
      <w:r>
        <w:rPr>
          <w:rFonts w:hint="eastAsia" w:eastAsia="黑体" w:cs="黑体"/>
          <w:color w:val="000000" w:themeColor="text1"/>
          <w:sz w:val="32"/>
          <w:szCs w:val="32"/>
          <w:u w:val="none"/>
          <w:lang w:val="en-US" w:eastAsia="zh-CN"/>
          <w14:textFill>
            <w14:solidFill>
              <w14:schemeClr w14:val="tx1"/>
            </w14:solidFill>
          </w14:textFill>
        </w:rPr>
        <w:t>四</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政府投资年度计划应当明确项目名称、建设内容及规模、建设工期、项目总投资、年度投资额及资金来源等事项。</w:t>
      </w:r>
      <w:r>
        <w:rPr>
          <w:rFonts w:hint="eastAsia" w:eastAsia="仿宋_GB2312" w:cs="仿宋_GB2312"/>
          <w:color w:val="000000" w:themeColor="text1"/>
          <w:sz w:val="32"/>
          <w:szCs w:val="32"/>
          <w:u w:val="none"/>
          <w:lang w:val="en-US" w:eastAsia="zh-CN"/>
          <w14:textFill>
            <w14:solidFill>
              <w14:schemeClr w14:val="tx1"/>
            </w14:solidFill>
          </w14:textFill>
        </w:rPr>
        <w:t>符合固定资产投资入库要求的项目，原则上应入固定资产投资统计库。</w:t>
      </w:r>
    </w:p>
    <w:p w14:paraId="7273B8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二十</w:t>
      </w:r>
      <w:r>
        <w:rPr>
          <w:rFonts w:hint="eastAsia" w:eastAsia="黑体" w:cs="黑体"/>
          <w:color w:val="000000" w:themeColor="text1"/>
          <w:sz w:val="32"/>
          <w:szCs w:val="32"/>
          <w:u w:val="none"/>
          <w:lang w:val="en-US" w:eastAsia="zh-CN"/>
          <w14:textFill>
            <w14:solidFill>
              <w14:schemeClr w14:val="tx1"/>
            </w14:solidFill>
          </w14:textFill>
        </w:rPr>
        <w:t>五</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列入政府投资年度计划的项目应当符合</w:t>
      </w:r>
      <w:r>
        <w:commentReference w:id="0"/>
      </w:r>
      <w:r>
        <w:rPr>
          <w:rFonts w:hint="eastAsia" w:ascii="Times New Roman" w:hAnsi="Times New Roman" w:eastAsia="仿宋_GB2312" w:cs="仿宋_GB2312"/>
          <w:color w:val="000000" w:themeColor="text1"/>
          <w:sz w:val="32"/>
          <w:szCs w:val="32"/>
          <w:u w:val="none"/>
          <w14:textFill>
            <w14:solidFill>
              <w14:schemeClr w14:val="tx1"/>
            </w14:solidFill>
          </w14:textFill>
        </w:rPr>
        <w:t>下列条件:</w:t>
      </w:r>
    </w:p>
    <w:p w14:paraId="7D674F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一</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采取直接投资方式、资本金注入方式的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可行性研究报告已经批准</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或者投资概算已经核定</w:t>
      </w:r>
      <w:r>
        <w:rPr>
          <w:rFonts w:hint="eastAsia" w:ascii="Times New Roman" w:hAnsi="Times New Roman" w:eastAsia="仿宋_GB2312" w:cs="仿宋_GB2312"/>
          <w:color w:val="000000" w:themeColor="text1"/>
          <w:sz w:val="32"/>
          <w:szCs w:val="32"/>
          <w:u w:val="none"/>
          <w14:textFill>
            <w14:solidFill>
              <w14:schemeClr w14:val="tx1"/>
            </w14:solidFill>
          </w14:textFill>
        </w:rPr>
        <w:t>;</w:t>
      </w:r>
    </w:p>
    <w:p w14:paraId="58FD7B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二</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采取投资补助、贷款贴息等方式的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已经按照国家有关规定办理手续;</w:t>
      </w:r>
    </w:p>
    <w:p w14:paraId="57D00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三</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县级以上人民政府有关部门规定的其他条件。</w:t>
      </w:r>
    </w:p>
    <w:p w14:paraId="63D489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未落实资金或者未明确资金来源的项目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不得列入政府投资年度计划。</w:t>
      </w:r>
    </w:p>
    <w:p w14:paraId="6ECF0F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二十</w:t>
      </w:r>
      <w:r>
        <w:rPr>
          <w:rFonts w:hint="eastAsia" w:eastAsia="黑体" w:cs="黑体"/>
          <w:color w:val="000000" w:themeColor="text1"/>
          <w:sz w:val="32"/>
          <w:szCs w:val="32"/>
          <w:u w:val="none"/>
          <w:lang w:val="en-US" w:eastAsia="zh-CN"/>
          <w14:textFill>
            <w14:solidFill>
              <w14:schemeClr w14:val="tx1"/>
            </w14:solidFill>
          </w14:textFill>
        </w:rPr>
        <w:t>六</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政府投资年度计划应当和</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14:textFill>
            <w14:solidFill>
              <w14:schemeClr w14:val="tx1"/>
            </w14:solidFill>
          </w14:textFill>
        </w:rPr>
        <w:t>级预算相衔接，与财政承受能力相匹配</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严控债务高风险地区新上政府投资项目。</w:t>
      </w:r>
    </w:p>
    <w:p w14:paraId="4100FA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二十</w:t>
      </w:r>
      <w:r>
        <w:rPr>
          <w:rFonts w:hint="eastAsia" w:eastAsia="黑体" w:cs="黑体"/>
          <w:color w:val="000000" w:themeColor="text1"/>
          <w:sz w:val="32"/>
          <w:szCs w:val="32"/>
          <w:u w:val="none"/>
          <w:lang w:val="en-US" w:eastAsia="zh-CN"/>
          <w14:textFill>
            <w14:solidFill>
              <w14:schemeClr w14:val="tx1"/>
            </w14:solidFill>
          </w14:textFill>
        </w:rPr>
        <w:t>七</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w:t>
      </w:r>
      <w:r>
        <w:rPr>
          <w:rFonts w:hint="eastAsia" w:ascii="Times New Roman" w:hAnsi="Times New Roman" w:eastAsia="仿宋_GB2312" w:cs="仿宋_GB2312"/>
          <w:color w:val="000000" w:themeColor="text1"/>
          <w:sz w:val="32"/>
          <w:szCs w:val="32"/>
          <w:u w:val="none"/>
          <w14:textFill>
            <w14:solidFill>
              <w14:schemeClr w14:val="tx1"/>
            </w14:solidFill>
          </w14:textFill>
        </w:rPr>
        <w:t>财政</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局</w:t>
      </w:r>
      <w:r>
        <w:rPr>
          <w:rFonts w:hint="eastAsia" w:ascii="Times New Roman" w:hAnsi="Times New Roman" w:eastAsia="仿宋_GB2312" w:cs="仿宋_GB2312"/>
          <w:color w:val="000000" w:themeColor="text1"/>
          <w:sz w:val="32"/>
          <w:szCs w:val="32"/>
          <w:u w:val="none"/>
          <w14:textFill>
            <w14:solidFill>
              <w14:schemeClr w14:val="tx1"/>
            </w14:solidFill>
          </w14:textFill>
        </w:rPr>
        <w:t>应当根据经批准的预算，按照法律、行政法规和国库管理的有关规定</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及时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足额办理政府投资资金拨付。</w:t>
      </w:r>
    </w:p>
    <w:p w14:paraId="307192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73E44F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六</w:t>
      </w:r>
      <w:r>
        <w:rPr>
          <w:rFonts w:hint="eastAsia" w:ascii="Times New Roman" w:hAnsi="Times New Roman" w:eastAsia="黑体" w:cs="黑体"/>
          <w:color w:val="000000" w:themeColor="text1"/>
          <w:sz w:val="32"/>
          <w:szCs w:val="32"/>
          <w:u w:val="none"/>
          <w14:textFill>
            <w14:solidFill>
              <w14:schemeClr w14:val="tx1"/>
            </w14:solidFill>
          </w14:textFill>
        </w:rPr>
        <w:t>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政府投资项目实施</w:t>
      </w:r>
    </w:p>
    <w:p w14:paraId="467AE7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3826A9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二十八</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政府投资项目应当按照国家相关规定</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严格落实项目法人责任制、</w:t>
      </w:r>
      <w:r>
        <w:rPr>
          <w:rFonts w:hint="eastAsia" w:ascii="Times New Roman" w:hAnsi="Times New Roman" w:eastAsia="仿宋_GB2312"/>
          <w:color w:val="000000" w:themeColor="text1"/>
          <w:sz w:val="32"/>
          <w:szCs w:val="32"/>
          <w:u w:val="none"/>
          <w14:textFill>
            <w14:solidFill>
              <w14:schemeClr w14:val="tx1"/>
            </w14:solidFill>
          </w14:textFill>
        </w:rPr>
        <w:t>工程质量终身责任制</w:t>
      </w:r>
      <w:r>
        <w:rPr>
          <w:rFonts w:hint="eastAsia" w:ascii="Times New Roman" w:hAnsi="Times New Roman" w:eastAsia="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招标投标制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合同管理制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工程监理制</w:t>
      </w:r>
      <w:r>
        <w:rPr>
          <w:rFonts w:hint="eastAsia" w:ascii="Times New Roman" w:hAnsi="Times New Roman" w:eastAsia="仿宋_GB2312"/>
          <w:color w:val="000000" w:themeColor="text1"/>
          <w:sz w:val="32"/>
          <w:szCs w:val="32"/>
          <w:u w:val="none"/>
          <w14:textFill>
            <w14:solidFill>
              <w14:schemeClr w14:val="tx1"/>
            </w14:solidFill>
          </w14:textFill>
        </w:rPr>
        <w:t>等管理制度</w:t>
      </w:r>
      <w:r>
        <w:rPr>
          <w:rFonts w:hint="eastAsia" w:ascii="Times New Roman" w:hAnsi="Times New Roman" w:eastAsia="仿宋_GB2312" w:cs="仿宋_GB2312"/>
          <w:color w:val="000000" w:themeColor="text1"/>
          <w:sz w:val="32"/>
          <w:szCs w:val="32"/>
          <w:u w:val="none"/>
          <w14:textFill>
            <w14:solidFill>
              <w14:schemeClr w14:val="tx1"/>
            </w14:solidFill>
          </w14:textFill>
        </w:rPr>
        <w:t>。对于项目单位缺乏相关专业技术人员和建设管理经验的政府投资项目可以实行代理建设制度</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实行工程总承包的政府投资项目</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必须</w:t>
      </w:r>
      <w:r>
        <w:rPr>
          <w:rFonts w:hint="eastAsia" w:ascii="Times New Roman" w:hAnsi="Times New Roman" w:eastAsia="仿宋_GB2312" w:cs="仿宋_GB2312"/>
          <w:color w:val="000000" w:themeColor="text1"/>
          <w:sz w:val="32"/>
          <w:szCs w:val="32"/>
          <w:u w:val="none"/>
          <w14:textFill>
            <w14:solidFill>
              <w14:schemeClr w14:val="tx1"/>
            </w14:solidFill>
          </w14:textFill>
        </w:rPr>
        <w:t>建设内容明确、技术方案成熟。</w:t>
      </w:r>
    </w:p>
    <w:p w14:paraId="72C1AF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实行代理建设制度或工程总承包的项目，项目单位是项目管理的责任主体</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代建单位或工程总承包单位应当按照与项目单位签订的合同</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承担项目实施的相关权利义务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严格执行投资概算</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加强资金管理和控制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保证项目推进进度</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确保工程质量和安全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65748145">
      <w:pPr>
        <w:pStyle w:val="6"/>
        <w:spacing w:before="0" w:line="560" w:lineRule="exact"/>
        <w:ind w:left="0" w:right="0" w:firstLine="657"/>
        <w:jc w:val="both"/>
      </w:pPr>
      <w:r>
        <w:rPr>
          <w:rFonts w:hint="eastAsia" w:ascii="黑体" w:hAnsi="黑体" w:eastAsia="黑体" w:cs="黑体"/>
          <w:b w:val="0"/>
          <w:color w:val="000000" w:themeColor="text1"/>
          <w:kern w:val="2"/>
          <w:sz w:val="32"/>
          <w:szCs w:val="32"/>
          <w:u w:val="none"/>
          <w:lang w:val="en-US" w:eastAsia="zh-CN" w:bidi="ar-SA"/>
          <w14:textFill>
            <w14:solidFill>
              <w14:schemeClr w14:val="tx1"/>
            </w14:solidFill>
          </w14:textFill>
        </w:rPr>
        <w:t>第二十九条</w:t>
      </w:r>
      <w:r>
        <w:rPr>
          <w:rFonts w:hint="eastAsia" w:ascii="Times New Roman" w:hAnsi="Times New Roman" w:cs="黑体"/>
          <w:color w:val="000000" w:themeColor="text1"/>
          <w:sz w:val="32"/>
          <w:szCs w:val="32"/>
          <w:u w:val="none"/>
          <w:lang w:val="en-US" w:eastAsia="zh-CN"/>
          <w14:textFill>
            <w14:solidFill>
              <w14:schemeClr w14:val="tx1"/>
            </w14:solidFill>
          </w14:textFill>
        </w:rPr>
        <w:t xml:space="preserve"> </w:t>
      </w:r>
      <w:r>
        <w:rPr>
          <w:spacing w:val="6"/>
        </w:rPr>
        <w:t>政府投资项目开工建设，应当符合有关法律、</w:t>
      </w:r>
      <w:r>
        <w:rPr>
          <w:spacing w:val="5"/>
        </w:rPr>
        <w:t>行政法规规定的建设条件；不符合规定的建设条件的，不得开工</w:t>
      </w:r>
      <w:r>
        <w:rPr>
          <w:spacing w:val="2"/>
        </w:rPr>
        <w:t>建设。</w:t>
      </w:r>
    </w:p>
    <w:p w14:paraId="7CD4F754">
      <w:pPr>
        <w:pStyle w:val="6"/>
        <w:spacing w:before="0" w:line="560" w:lineRule="exact"/>
        <w:ind w:left="0" w:right="0" w:firstLine="661"/>
      </w:pPr>
      <w:r>
        <w:rPr>
          <w:spacing w:val="4"/>
        </w:rPr>
        <w:t>国务院规定应当审批开工报告的重大政府投资项目，按照规</w:t>
      </w:r>
      <w:r>
        <w:rPr>
          <w:spacing w:val="8"/>
        </w:rPr>
        <w:t>定办理开工报告审批手续后方可开工建设。</w:t>
      </w:r>
    </w:p>
    <w:p w14:paraId="34C7BF87">
      <w:pPr>
        <w:pStyle w:val="6"/>
        <w:spacing w:before="0" w:line="560" w:lineRule="exact"/>
        <w:ind w:left="0" w:right="0" w:firstLine="653"/>
      </w:pPr>
      <w:r>
        <w:rPr>
          <w:rFonts w:hint="eastAsia" w:ascii="黑体" w:hAnsi="黑体" w:eastAsia="黑体" w:cs="黑体"/>
          <w:b w:val="0"/>
          <w:color w:val="000000" w:themeColor="text1"/>
          <w:kern w:val="2"/>
          <w:sz w:val="32"/>
          <w:szCs w:val="32"/>
          <w:u w:val="none"/>
          <w:lang w:val="en-US" w:eastAsia="zh-CN" w:bidi="ar-SA"/>
          <w14:textFill>
            <w14:solidFill>
              <w14:schemeClr w14:val="tx1"/>
            </w14:solidFill>
          </w14:textFill>
        </w:rPr>
        <w:t>第三十条</w:t>
      </w:r>
      <w:r>
        <w:rPr>
          <w:rFonts w:hint="eastAsia" w:ascii="Times New Roman" w:hAnsi="Times New Roman" w:eastAsia="仿宋_GB2312" w:cs="仿宋_GB2312"/>
          <w:b w:val="0"/>
          <w:color w:val="000000" w:themeColor="text1"/>
          <w:kern w:val="2"/>
          <w:sz w:val="32"/>
          <w:szCs w:val="32"/>
          <w:u w:val="none"/>
          <w:lang w:val="en-US" w:eastAsia="zh-CN" w:bidi="ar-SA"/>
          <w14:textFill>
            <w14:solidFill>
              <w14:schemeClr w14:val="tx1"/>
            </w14:solidFill>
          </w14:textFill>
        </w:rPr>
        <w:t xml:space="preserve">  </w:t>
      </w:r>
      <w:r>
        <w:rPr>
          <w:spacing w:val="16"/>
        </w:rPr>
        <w:t>政府投资项目所需资金应当按照国家有关规定</w:t>
      </w:r>
      <w:r>
        <w:rPr>
          <w:spacing w:val="9"/>
        </w:rPr>
        <w:t>确保落实到位，原则上根据工程施工进度安排</w:t>
      </w:r>
      <w:r>
        <w:rPr>
          <w:spacing w:val="8"/>
        </w:rPr>
        <w:t>预算。</w:t>
      </w:r>
    </w:p>
    <w:p w14:paraId="06052EA7">
      <w:pPr>
        <w:pStyle w:val="6"/>
        <w:spacing w:before="0" w:line="560" w:lineRule="exact"/>
        <w:ind w:left="0" w:right="0" w:firstLine="639"/>
      </w:pPr>
      <w:r>
        <w:rPr>
          <w:spacing w:val="5"/>
        </w:rPr>
        <w:t>政府投资项目不得由施工单位垫资建设。任</w:t>
      </w:r>
      <w:r>
        <w:rPr>
          <w:spacing w:val="4"/>
        </w:rPr>
        <w:t>何单位和个人不</w:t>
      </w:r>
      <w:r>
        <w:rPr>
          <w:spacing w:val="8"/>
        </w:rPr>
        <w:t>得截留、挪用、挤占政府投资资金。</w:t>
      </w:r>
    </w:p>
    <w:p w14:paraId="7C0EDF6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color w:val="000000" w:themeColor="text1"/>
          <w:kern w:val="2"/>
          <w:sz w:val="32"/>
          <w:szCs w:val="32"/>
          <w:u w:val="none"/>
          <w:lang w:val="en-US" w:eastAsia="zh-CN" w:bidi="ar-SA"/>
          <w14:textFill>
            <w14:solidFill>
              <w14:schemeClr w14:val="tx1"/>
            </w14:solidFill>
          </w14:textFill>
        </w:rPr>
      </w:pPr>
      <w:r>
        <w:rPr>
          <w:rFonts w:hint="eastAsia" w:ascii="Times New Roman" w:hAnsi="Times New Roman" w:eastAsia="黑体" w:cs="黑体"/>
          <w:b w:val="0"/>
          <w:color w:val="000000" w:themeColor="text1"/>
          <w:sz w:val="32"/>
          <w:szCs w:val="32"/>
          <w:u w:val="none"/>
          <w:lang w:eastAsia="zh-CN"/>
          <w14:textFill>
            <w14:solidFill>
              <w14:schemeClr w14:val="tx1"/>
            </w14:solidFill>
          </w14:textFill>
        </w:rPr>
        <w:t>第</w:t>
      </w:r>
      <w:r>
        <w:rPr>
          <w:rFonts w:hint="eastAsia" w:ascii="Times New Roman" w:hAnsi="Times New Roman" w:eastAsia="黑体" w:cs="黑体"/>
          <w:b w:val="0"/>
          <w:color w:val="000000" w:themeColor="text1"/>
          <w:sz w:val="32"/>
          <w:szCs w:val="32"/>
          <w:u w:val="none"/>
          <w:lang w:val="en-US" w:eastAsia="zh-CN"/>
          <w14:textFill>
            <w14:solidFill>
              <w14:schemeClr w14:val="tx1"/>
            </w14:solidFill>
          </w14:textFill>
        </w:rPr>
        <w:t>三十一</w:t>
      </w:r>
      <w:r>
        <w:rPr>
          <w:rFonts w:hint="eastAsia" w:ascii="Times New Roman" w:hAnsi="Times New Roman" w:eastAsia="黑体" w:cs="黑体"/>
          <w:b w:val="0"/>
          <w:color w:val="000000" w:themeColor="text1"/>
          <w:sz w:val="32"/>
          <w:szCs w:val="32"/>
          <w:u w:val="none"/>
          <w:lang w:eastAsia="zh-CN"/>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b w:val="0"/>
          <w:color w:val="000000" w:themeColor="text1"/>
          <w:kern w:val="2"/>
          <w:sz w:val="32"/>
          <w:szCs w:val="32"/>
          <w:u w:val="none"/>
          <w:lang w:val="en-US" w:eastAsia="zh-CN" w:bidi="ar-SA"/>
          <w14:textFill>
            <w14:solidFill>
              <w14:schemeClr w14:val="tx1"/>
            </w14:solidFill>
          </w14:textFill>
        </w:rPr>
        <w:t>政府投资项目应当按照审批部门批准的建设地点、建设规模和建设内容实施；确需变更建设地点或者对建设规模、建设内容等作较大变更的，应当按照规定程序报原审批部门审核；涉及项目预算变动的，按照预算管理的相关法律、行政法规和国家、省、市、县有关规定办理。</w:t>
      </w:r>
    </w:p>
    <w:p w14:paraId="65889E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三十</w:t>
      </w:r>
      <w:r>
        <w:rPr>
          <w:rFonts w:hint="eastAsia" w:eastAsia="黑体" w:cs="黑体"/>
          <w:color w:val="000000" w:themeColor="text1"/>
          <w:sz w:val="32"/>
          <w:szCs w:val="32"/>
          <w:u w:val="none"/>
          <w:lang w:val="en-US" w:eastAsia="zh-CN"/>
          <w14:textFill>
            <w14:solidFill>
              <w14:schemeClr w14:val="tx1"/>
            </w14:solidFill>
          </w14:textFill>
        </w:rPr>
        <w:t>二</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政府投资项目应当按照国家有关规定合理确定并严格执行建设工期</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任何单位和个人不得非法干预。</w:t>
      </w:r>
    </w:p>
    <w:p w14:paraId="5DCAD3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第三十</w:t>
      </w:r>
      <w:r>
        <w:rPr>
          <w:rFonts w:hint="eastAsia" w:eastAsia="黑体" w:cs="黑体"/>
          <w:color w:val="000000" w:themeColor="text1"/>
          <w:sz w:val="32"/>
          <w:szCs w:val="32"/>
          <w:u w:val="none"/>
          <w:lang w:val="en-US" w:eastAsia="zh-CN"/>
          <w14:textFill>
            <w14:solidFill>
              <w14:schemeClr w14:val="tx1"/>
            </w14:solidFill>
          </w14:textFill>
        </w:rPr>
        <w:t>三</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政府投资项目建成后</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房屋建筑和市政基础设施项目应当按照联合验收的规定程序和时限完成竣工验收，其他领域项目按照国家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省</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、市、</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有关</w:t>
      </w:r>
      <w:r>
        <w:rPr>
          <w:rFonts w:hint="eastAsia" w:ascii="Times New Roman" w:hAnsi="Times New Roman" w:eastAsia="仿宋_GB2312" w:cs="仿宋_GB2312"/>
          <w:color w:val="000000" w:themeColor="text1"/>
          <w:sz w:val="32"/>
          <w:szCs w:val="32"/>
          <w:u w:val="none"/>
          <w14:textFill>
            <w14:solidFill>
              <w14:schemeClr w14:val="tx1"/>
            </w14:solidFill>
          </w14:textFill>
        </w:rPr>
        <w:t>规定的程序和时限完成竣工验收。</w:t>
      </w:r>
    </w:p>
    <w:p w14:paraId="039CB5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三十四</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竣工验收重点审查政府投资项目的审批执行、投资概算、建设内容、建设规模、工程质量、目标完成及与项目竣工验收相关的其他情况。</w:t>
      </w:r>
    </w:p>
    <w:p w14:paraId="28A25119">
      <w:pPr>
        <w:pageBreakBefore w:val="0"/>
        <w:widowControl w:val="0"/>
        <w:kinsoku/>
        <w:wordWrap/>
        <w:overflowPunct/>
        <w:topLinePunct w:val="0"/>
        <w:autoSpaceDE/>
        <w:autoSpaceDN/>
        <w:bidi w:val="0"/>
        <w:adjustRightInd/>
        <w:snapToGrid/>
        <w:spacing w:line="560" w:lineRule="exact"/>
        <w:ind w:firstLine="640"/>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olor w:val="000000" w:themeColor="text1"/>
          <w:sz w:val="32"/>
          <w:szCs w:val="32"/>
          <w:u w:val="none"/>
          <w14:textFill>
            <w14:solidFill>
              <w14:schemeClr w14:val="tx1"/>
            </w14:solidFill>
          </w14:textFill>
        </w:rPr>
        <w:t>项目单位在竣工验收合格后，</w:t>
      </w:r>
      <w:r>
        <w:rPr>
          <w:rFonts w:hint="eastAsia" w:ascii="Times New Roman" w:hAnsi="Times New Roman" w:eastAsia="仿宋_GB2312"/>
          <w:color w:val="000000" w:themeColor="text1"/>
          <w:sz w:val="32"/>
          <w:szCs w:val="32"/>
          <w:u w:val="none"/>
          <w:lang w:eastAsia="zh-CN"/>
          <w14:textFill>
            <w14:solidFill>
              <w14:schemeClr w14:val="tx1"/>
            </w14:solidFill>
          </w14:textFill>
        </w:rPr>
        <w:t>应及时</w:t>
      </w:r>
      <w:r>
        <w:rPr>
          <w:rFonts w:hint="eastAsia" w:ascii="Times New Roman" w:hAnsi="Times New Roman" w:eastAsia="仿宋_GB2312"/>
          <w:color w:val="000000" w:themeColor="text1"/>
          <w:sz w:val="32"/>
          <w:szCs w:val="32"/>
          <w:u w:val="none"/>
          <w14:textFill>
            <w14:solidFill>
              <w14:schemeClr w14:val="tx1"/>
            </w14:solidFill>
          </w14:textFill>
        </w:rPr>
        <w:t>办理竣工财务决算</w:t>
      </w:r>
      <w:r>
        <w:rPr>
          <w:rFonts w:hint="eastAsia" w:ascii="Times New Roman" w:hAnsi="Times New Roman" w:eastAsia="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政府投资项目结余的财政资金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应当按照国家有关规定缴回国库。</w:t>
      </w:r>
    </w:p>
    <w:p w14:paraId="32B164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w:t>
      </w:r>
      <w:r>
        <w:rPr>
          <w:rFonts w:hint="eastAsia" w:ascii="Times New Roman" w:hAnsi="Times New Roman" w:eastAsia="黑体" w:cs="黑体"/>
          <w:color w:val="000000" w:themeColor="text1"/>
          <w:sz w:val="32"/>
          <w:szCs w:val="32"/>
          <w:u w:val="none"/>
          <w:lang w:eastAsia="zh-CN"/>
          <w14:textFill>
            <w14:solidFill>
              <w14:schemeClr w14:val="tx1"/>
            </w14:solidFill>
          </w14:textFill>
        </w:rPr>
        <w:t>十</w:t>
      </w:r>
      <w:r>
        <w:rPr>
          <w:rFonts w:hint="eastAsia" w:eastAsia="黑体" w:cs="黑体"/>
          <w:color w:val="000000" w:themeColor="text1"/>
          <w:sz w:val="32"/>
          <w:szCs w:val="32"/>
          <w:u w:val="none"/>
          <w:lang w:val="en-US" w:eastAsia="zh-CN"/>
          <w14:textFill>
            <w14:solidFill>
              <w14:schemeClr w14:val="tx1"/>
            </w14:solidFill>
          </w14:textFill>
        </w:rPr>
        <w:t>五</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审批</w:t>
      </w:r>
      <w:r>
        <w:rPr>
          <w:rFonts w:hint="eastAsia" w:ascii="Times New Roman" w:hAnsi="Times New Roman" w:eastAsia="仿宋_GB2312" w:cs="仿宋_GB2312"/>
          <w:color w:val="000000" w:themeColor="text1"/>
          <w:sz w:val="32"/>
          <w:szCs w:val="32"/>
          <w:u w:val="none"/>
          <w14:textFill>
            <w14:solidFill>
              <w14:schemeClr w14:val="tx1"/>
            </w14:solidFill>
          </w14:textFill>
        </w:rPr>
        <w:t>部门应当会同行业主管部门按照国家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省</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、市和</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14:textFill>
            <w14:solidFill>
              <w14:schemeClr w14:val="tx1"/>
            </w14:solidFill>
          </w14:textFill>
        </w:rPr>
        <w:t>有关规定</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选择有代表性的已建成政府投资项目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委托中介服务机构对所选项目进行后评价</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后评价应当根据项目建成后的实际效果</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对项目投资决策</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建设管理和投资效益、社会效益进行全面评价并提出明确意见。后评价结果可作为规划制定、项目审批、资金安排、项目管理的重要参考依据。</w:t>
      </w:r>
    </w:p>
    <w:p w14:paraId="48E5DA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254F99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七</w:t>
      </w:r>
      <w:r>
        <w:rPr>
          <w:rFonts w:hint="eastAsia" w:ascii="Times New Roman" w:hAnsi="Times New Roman" w:eastAsia="黑体" w:cs="黑体"/>
          <w:color w:val="000000" w:themeColor="text1"/>
          <w:sz w:val="32"/>
          <w:szCs w:val="32"/>
          <w:u w:val="none"/>
          <w14:textFill>
            <w14:solidFill>
              <w14:schemeClr w14:val="tx1"/>
            </w14:solidFill>
          </w14:textFill>
        </w:rPr>
        <w:t>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监督管理</w:t>
      </w:r>
    </w:p>
    <w:p w14:paraId="7AED27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7285F3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三十六</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县发改局</w:t>
      </w:r>
      <w:r>
        <w:rPr>
          <w:rFonts w:hint="eastAsia" w:ascii="Times New Roman" w:hAnsi="Times New Roman" w:eastAsia="仿宋_GB2312" w:cs="仿宋_GB2312"/>
          <w:color w:val="000000" w:themeColor="text1"/>
          <w:sz w:val="32"/>
          <w:szCs w:val="32"/>
          <w:u w:val="none"/>
          <w14:textFill>
            <w14:solidFill>
              <w14:schemeClr w14:val="tx1"/>
            </w14:solidFill>
          </w14:textFill>
        </w:rPr>
        <w:t>和依法对政府投资项目负有监督管理职责的其他部门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应当加强政府投资项目事中事后监管</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采取在线监测、现场核查、督导评估等方式，对项目实施、资金使用等情况开展日常调度和监督检查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重大情况及时向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县</w:t>
      </w:r>
      <w:r>
        <w:rPr>
          <w:rFonts w:hint="eastAsia" w:ascii="Times New Roman" w:hAnsi="Times New Roman" w:eastAsia="仿宋_GB2312" w:cs="仿宋_GB2312"/>
          <w:color w:val="000000" w:themeColor="text1"/>
          <w:sz w:val="32"/>
          <w:szCs w:val="32"/>
          <w:u w:val="none"/>
          <w14:textFill>
            <w14:solidFill>
              <w14:schemeClr w14:val="tx1"/>
            </w14:solidFill>
          </w14:textFill>
        </w:rPr>
        <w:t>政府报告。</w:t>
      </w:r>
    </w:p>
    <w:p w14:paraId="3A2DC7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项目单位应当通过在线平台如实报送政府投资项目开工建设、建设进度、竣工验收的基本信息。</w:t>
      </w:r>
    </w:p>
    <w:p w14:paraId="3D53CF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政府投资项目应当依法接受审计部门审计监督。</w:t>
      </w:r>
    </w:p>
    <w:p w14:paraId="7F6D2E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三十七</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县发改局</w:t>
      </w:r>
      <w:r>
        <w:rPr>
          <w:rFonts w:hint="eastAsia" w:ascii="Times New Roman" w:hAnsi="Times New Roman" w:eastAsia="仿宋_GB2312" w:cs="仿宋_GB2312"/>
          <w:color w:val="000000" w:themeColor="text1"/>
          <w:sz w:val="32"/>
          <w:szCs w:val="32"/>
          <w:u w:val="none"/>
          <w14:textFill>
            <w14:solidFill>
              <w14:schemeClr w14:val="tx1"/>
            </w14:solidFill>
          </w14:textFill>
        </w:rPr>
        <w:t>和依法对政府投资项目负有监督管理职责的其他部门应当建立政府投资项目信息共享机制，通过在线平台实现信息共享。</w:t>
      </w:r>
    </w:p>
    <w:p w14:paraId="5FEEC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三十八</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项目单位应当按照国家有关规定加强政府投资项目档案管理</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将项目审批和实施过程中的有关文件、资料存档备查。</w:t>
      </w:r>
    </w:p>
    <w:p w14:paraId="06A720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三十九</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政府投资年度计划、政府投资项目审批和实施以及监督检查的信息应当依法公开。</w:t>
      </w:r>
    </w:p>
    <w:p w14:paraId="440CF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四十</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政府投资项目的绩效管理、建设工程质量管理、安全生产管理等事项</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依照有关法律、行政法规和国家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省、市、县</w:t>
      </w:r>
      <w:r>
        <w:rPr>
          <w:rFonts w:hint="eastAsia" w:ascii="Times New Roman" w:hAnsi="Times New Roman" w:eastAsia="仿宋_GB2312" w:cs="仿宋_GB2312"/>
          <w:color w:val="000000" w:themeColor="text1"/>
          <w:sz w:val="32"/>
          <w:szCs w:val="32"/>
          <w:u w:val="none"/>
          <w14:textFill>
            <w14:solidFill>
              <w14:schemeClr w14:val="tx1"/>
            </w14:solidFill>
          </w14:textFill>
        </w:rPr>
        <w:t>有关规定执行。</w:t>
      </w:r>
    </w:p>
    <w:p w14:paraId="6431A1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24A958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八</w:t>
      </w:r>
      <w:r>
        <w:rPr>
          <w:rFonts w:hint="eastAsia" w:ascii="Times New Roman" w:hAnsi="Times New Roman" w:eastAsia="黑体" w:cs="黑体"/>
          <w:color w:val="000000" w:themeColor="text1"/>
          <w:sz w:val="32"/>
          <w:szCs w:val="32"/>
          <w:u w:val="none"/>
          <w14:textFill>
            <w14:solidFill>
              <w14:schemeClr w14:val="tx1"/>
            </w14:solidFill>
          </w14:textFill>
        </w:rPr>
        <w:t>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法律责任</w:t>
      </w:r>
    </w:p>
    <w:p w14:paraId="5A746C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10F850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四十</w:t>
      </w:r>
      <w:r>
        <w:rPr>
          <w:rFonts w:hint="eastAsia" w:eastAsia="黑体" w:cs="黑体"/>
          <w:color w:val="000000" w:themeColor="text1"/>
          <w:sz w:val="32"/>
          <w:szCs w:val="32"/>
          <w:u w:val="none"/>
          <w:lang w:val="en-US" w:eastAsia="zh-CN"/>
          <w14:textFill>
            <w14:solidFill>
              <w14:schemeClr w14:val="tx1"/>
            </w14:solidFill>
          </w14:textFill>
        </w:rPr>
        <w:t>一</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有下列情形之一的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责令改正</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对负有责任的领导人员和直接责任人员依法依规追究责任:</w:t>
      </w:r>
    </w:p>
    <w:p w14:paraId="16ACEE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仿宋_GB2312"/>
          <w:color w:val="000000" w:themeColor="text1"/>
          <w:sz w:val="32"/>
          <w:szCs w:val="32"/>
          <w:u w:val="none"/>
          <w14:textFill>
            <w14:solidFill>
              <w14:schemeClr w14:val="tx1"/>
            </w14:solidFill>
          </w14:textFill>
        </w:rPr>
        <w:t>超越审批权限审批政府投资项目</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5700E9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（二）</w:t>
      </w:r>
      <w:r>
        <w:rPr>
          <w:rFonts w:hint="eastAsia" w:ascii="Times New Roman" w:hAnsi="Times New Roman" w:eastAsia="仿宋_GB2312" w:cs="仿宋_GB2312"/>
          <w:color w:val="000000" w:themeColor="text1"/>
          <w:sz w:val="32"/>
          <w:szCs w:val="32"/>
          <w:u w:val="none"/>
          <w14:textFill>
            <w14:solidFill>
              <w14:schemeClr w14:val="tx1"/>
            </w14:solidFill>
          </w14:textFill>
        </w:rPr>
        <w:t>对不符合规定的政府投资项目予以批准</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42A915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（三）</w:t>
      </w:r>
      <w:r>
        <w:rPr>
          <w:rFonts w:hint="eastAsia" w:ascii="Times New Roman" w:hAnsi="Times New Roman" w:eastAsia="仿宋_GB2312" w:cs="仿宋_GB2312"/>
          <w:color w:val="000000" w:themeColor="text1"/>
          <w:sz w:val="32"/>
          <w:szCs w:val="32"/>
          <w:u w:val="none"/>
          <w14:textFill>
            <w14:solidFill>
              <w14:schemeClr w14:val="tx1"/>
            </w14:solidFill>
          </w14:textFill>
        </w:rPr>
        <w:t>未按照规定程序和权限核定或者调整政府投资项目的概算</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787868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（四）</w:t>
      </w:r>
      <w:r>
        <w:rPr>
          <w:rFonts w:hint="eastAsia" w:ascii="Times New Roman" w:hAnsi="Times New Roman" w:eastAsia="仿宋_GB2312" w:cs="仿宋_GB2312"/>
          <w:color w:val="000000" w:themeColor="text1"/>
          <w:sz w:val="32"/>
          <w:szCs w:val="32"/>
          <w:u w:val="none"/>
          <w14:textFill>
            <w14:solidFill>
              <w14:schemeClr w14:val="tx1"/>
            </w14:solidFill>
          </w14:textFill>
        </w:rPr>
        <w:t>为不符合规定的项目安排投资补助、贷款贴息等政府投资资金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4AB7C7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（五）</w:t>
      </w:r>
      <w:r>
        <w:rPr>
          <w:rFonts w:hint="eastAsia" w:ascii="Times New Roman" w:hAnsi="Times New Roman" w:eastAsia="仿宋_GB2312" w:cs="仿宋_GB2312"/>
          <w:color w:val="000000" w:themeColor="text1"/>
          <w:sz w:val="32"/>
          <w:szCs w:val="32"/>
          <w:u w:val="none"/>
          <w14:textFill>
            <w14:solidFill>
              <w14:schemeClr w14:val="tx1"/>
            </w14:solidFill>
          </w14:textFill>
        </w:rPr>
        <w:t>履行政府投资管理职责中其他玩忽职守、滥用职权、徇私舞弊的情形</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6E3005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第四十</w:t>
      </w:r>
      <w:r>
        <w:rPr>
          <w:rFonts w:hint="eastAsia" w:eastAsia="黑体" w:cs="黑体"/>
          <w:color w:val="000000" w:themeColor="text1"/>
          <w:sz w:val="32"/>
          <w:szCs w:val="32"/>
          <w:u w:val="none"/>
          <w:lang w:val="en-US" w:eastAsia="zh-CN"/>
          <w14:textFill>
            <w14:solidFill>
              <w14:schemeClr w14:val="tx1"/>
            </w14:solidFill>
          </w14:textFill>
        </w:rPr>
        <w:t>二</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有下列情形之一的，依照有关预算的法律、行政法规和国家有关规定追究责任:</w:t>
      </w:r>
    </w:p>
    <w:p w14:paraId="435046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仿宋_GB2312"/>
          <w:color w:val="000000" w:themeColor="text1"/>
          <w:sz w:val="32"/>
          <w:szCs w:val="32"/>
          <w:u w:val="none"/>
          <w14:textFill>
            <w14:solidFill>
              <w14:schemeClr w14:val="tx1"/>
            </w14:solidFill>
          </w14:textFill>
        </w:rPr>
        <w:t>政府及其有关部门违法违规举借债务筹措政府投资资金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63815B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（二）</w:t>
      </w:r>
      <w:r>
        <w:rPr>
          <w:rFonts w:hint="eastAsia" w:ascii="Times New Roman" w:hAnsi="Times New Roman" w:eastAsia="仿宋_GB2312" w:cs="仿宋_GB2312"/>
          <w:color w:val="000000" w:themeColor="text1"/>
          <w:sz w:val="32"/>
          <w:szCs w:val="32"/>
          <w:u w:val="none"/>
          <w14:textFill>
            <w14:solidFill>
              <w14:schemeClr w14:val="tx1"/>
            </w14:solidFill>
          </w14:textFill>
        </w:rPr>
        <w:t>未按照规定及时、足额办理政府投资资金拨付</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3E9C2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（三）</w:t>
      </w:r>
      <w:r>
        <w:rPr>
          <w:rFonts w:hint="eastAsia" w:ascii="Times New Roman" w:hAnsi="Times New Roman" w:eastAsia="仿宋_GB2312" w:cs="仿宋_GB2312"/>
          <w:color w:val="000000" w:themeColor="text1"/>
          <w:sz w:val="32"/>
          <w:szCs w:val="32"/>
          <w:u w:val="none"/>
          <w14:textFill>
            <w14:solidFill>
              <w14:schemeClr w14:val="tx1"/>
            </w14:solidFill>
          </w14:textFill>
        </w:rPr>
        <w:t>转移、侵占、挪用政府投资资金。</w:t>
      </w:r>
    </w:p>
    <w:p w14:paraId="49941F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第四十</w:t>
      </w:r>
      <w:r>
        <w:rPr>
          <w:rFonts w:hint="eastAsia" w:eastAsia="黑体" w:cs="黑体"/>
          <w:color w:val="000000" w:themeColor="text1"/>
          <w:sz w:val="32"/>
          <w:szCs w:val="32"/>
          <w:u w:val="none"/>
          <w:lang w:val="en-US" w:eastAsia="zh-CN"/>
          <w14:textFill>
            <w14:solidFill>
              <w14:schemeClr w14:val="tx1"/>
            </w14:solidFill>
          </w14:textFill>
        </w:rPr>
        <w:t>三</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项目单位有下列情形之一的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责令改正</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根据具体情况</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暂停</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停止拨付资金或者收回已拨付的资金</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暂停或者停止建设活动</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 xml:space="preserve">对负有责任的领导人员和直接责任人员依法依规追究责任: </w:t>
      </w:r>
    </w:p>
    <w:p w14:paraId="36A6DE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仿宋_GB2312"/>
          <w:color w:val="000000" w:themeColor="text1"/>
          <w:sz w:val="32"/>
          <w:szCs w:val="32"/>
          <w:u w:val="none"/>
          <w14:textFill>
            <w14:solidFill>
              <w14:schemeClr w14:val="tx1"/>
            </w14:solidFill>
          </w14:textFill>
        </w:rPr>
        <w:t>未经批准或者不符合规定的建设条件开工建设政府投资项目;</w:t>
      </w:r>
    </w:p>
    <w:p w14:paraId="382F43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（二）</w:t>
      </w:r>
      <w:r>
        <w:rPr>
          <w:rFonts w:hint="eastAsia" w:ascii="Times New Roman" w:hAnsi="Times New Roman" w:eastAsia="仿宋_GB2312" w:cs="仿宋_GB2312"/>
          <w:color w:val="000000" w:themeColor="text1"/>
          <w:sz w:val="32"/>
          <w:szCs w:val="32"/>
          <w:u w:val="none"/>
          <w14:textFill>
            <w14:solidFill>
              <w14:schemeClr w14:val="tx1"/>
            </w14:solidFill>
          </w14:textFill>
        </w:rPr>
        <w:t>弄虚作假骗取政府投资项目审批或者投资补助、贷款贴息等政府投资资金;</w:t>
      </w:r>
    </w:p>
    <w:p w14:paraId="2E6961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（三）</w:t>
      </w:r>
      <w:r>
        <w:rPr>
          <w:rFonts w:hint="eastAsia" w:ascii="Times New Roman" w:hAnsi="Times New Roman" w:eastAsia="仿宋_GB2312" w:cs="仿宋_GB2312"/>
          <w:color w:val="000000" w:themeColor="text1"/>
          <w:sz w:val="32"/>
          <w:szCs w:val="32"/>
          <w:u w:val="none"/>
          <w14:textFill>
            <w14:solidFill>
              <w14:schemeClr w14:val="tx1"/>
            </w14:solidFill>
          </w14:textFill>
        </w:rPr>
        <w:t>未经批准变更政府投资项目的建设地点或者对建设规模、建设内容等作较大变更;</w:t>
      </w:r>
    </w:p>
    <w:p w14:paraId="7D41B1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（四）</w:t>
      </w:r>
      <w:r>
        <w:rPr>
          <w:rFonts w:hint="eastAsia" w:ascii="Times New Roman" w:hAnsi="Times New Roman" w:eastAsia="仿宋_GB2312" w:cs="仿宋_GB2312"/>
          <w:color w:val="000000" w:themeColor="text1"/>
          <w:sz w:val="32"/>
          <w:szCs w:val="32"/>
          <w:u w:val="none"/>
          <w14:textFill>
            <w14:solidFill>
              <w14:schemeClr w14:val="tx1"/>
            </w14:solidFill>
          </w14:textFill>
        </w:rPr>
        <w:t>擅自增加投资概算;</w:t>
      </w:r>
    </w:p>
    <w:p w14:paraId="3800B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（五）</w:t>
      </w:r>
      <w:r>
        <w:rPr>
          <w:rFonts w:hint="eastAsia" w:ascii="Times New Roman" w:hAnsi="Times New Roman" w:eastAsia="仿宋_GB2312" w:cs="仿宋_GB2312"/>
          <w:color w:val="000000" w:themeColor="text1"/>
          <w:sz w:val="32"/>
          <w:szCs w:val="32"/>
          <w:u w:val="none"/>
          <w14:textFill>
            <w14:solidFill>
              <w14:schemeClr w14:val="tx1"/>
            </w14:solidFill>
          </w14:textFill>
        </w:rPr>
        <w:t>要求施工单位对政府投资项目垫资建设;</w:t>
      </w:r>
    </w:p>
    <w:p w14:paraId="78A968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（六）</w:t>
      </w:r>
      <w:r>
        <w:rPr>
          <w:rFonts w:hint="eastAsia" w:ascii="Times New Roman" w:hAnsi="Times New Roman" w:eastAsia="仿宋_GB2312" w:cs="仿宋_GB2312"/>
          <w:color w:val="000000" w:themeColor="text1"/>
          <w:sz w:val="32"/>
          <w:szCs w:val="32"/>
          <w:u w:val="none"/>
          <w14:textFill>
            <w14:solidFill>
              <w14:schemeClr w14:val="tx1"/>
            </w14:solidFill>
          </w14:textFill>
        </w:rPr>
        <w:t>无正当理由不实施或者不按照建设工期实施已批准的政府投资项目。</w:t>
      </w:r>
    </w:p>
    <w:p w14:paraId="67C242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四十四</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14:textFill>
            <w14:solidFill>
              <w14:schemeClr w14:val="tx1"/>
            </w14:solidFill>
          </w14:textFill>
        </w:rPr>
        <w:t>项目单位未按照规定将政府投资项目审批和实施过程中的有关文件、资料存档备查</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或者转移、隐匿、篡改、毁弃项目有关文件、资料的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责令改正</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对负有责任的领导人员和直接责任人员依法依规追究责任。</w:t>
      </w:r>
    </w:p>
    <w:p w14:paraId="2A5165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063533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color w:val="000000" w:themeColor="text1"/>
          <w:sz w:val="32"/>
          <w:szCs w:val="32"/>
          <w:u w:val="none"/>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ascii="Times New Roman" w:hAnsi="Times New Roman" w:eastAsia="黑体" w:cs="黑体"/>
          <w:color w:val="000000" w:themeColor="text1"/>
          <w:sz w:val="32"/>
          <w:szCs w:val="32"/>
          <w:u w:val="none"/>
          <w:lang w:eastAsia="zh-CN"/>
          <w14:textFill>
            <w14:solidFill>
              <w14:schemeClr w14:val="tx1"/>
            </w14:solidFill>
          </w14:textFill>
        </w:rPr>
        <w:t>九</w:t>
      </w:r>
      <w:r>
        <w:rPr>
          <w:rFonts w:hint="eastAsia" w:ascii="Times New Roman" w:hAnsi="Times New Roman" w:eastAsia="黑体" w:cs="黑体"/>
          <w:color w:val="000000" w:themeColor="text1"/>
          <w:sz w:val="32"/>
          <w:szCs w:val="32"/>
          <w:u w:val="none"/>
          <w14:textFill>
            <w14:solidFill>
              <w14:schemeClr w14:val="tx1"/>
            </w14:solidFill>
          </w14:textFill>
        </w:rPr>
        <w:t>章</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黑体" w:cs="黑体"/>
          <w:color w:val="000000" w:themeColor="text1"/>
          <w:sz w:val="32"/>
          <w:szCs w:val="32"/>
          <w:u w:val="none"/>
          <w14:textFill>
            <w14:solidFill>
              <w14:schemeClr w14:val="tx1"/>
            </w14:solidFill>
          </w14:textFill>
        </w:rPr>
        <w:t>附则</w:t>
      </w:r>
    </w:p>
    <w:p w14:paraId="0D7030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000000" w:themeColor="text1"/>
          <w:sz w:val="32"/>
          <w:szCs w:val="32"/>
          <w:u w:val="none"/>
          <w14:textFill>
            <w14:solidFill>
              <w14:schemeClr w14:val="tx1"/>
            </w14:solidFill>
          </w14:textFill>
        </w:rPr>
      </w:pPr>
    </w:p>
    <w:p w14:paraId="62AE38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color w:val="000000" w:themeColor="text1"/>
          <w:sz w:val="32"/>
          <w:szCs w:val="32"/>
          <w:u w:val="none"/>
          <w:lang w:val="en-US" w:eastAsia="zh-CN"/>
          <w14:textFill>
            <w14:solidFill>
              <w14:schemeClr w14:val="tx1"/>
            </w14:solidFill>
          </w14:textFill>
        </w:rPr>
      </w:pPr>
      <w:r>
        <w:rPr>
          <w:rFonts w:hint="eastAsia" w:ascii="Times New Roman" w:hAnsi="Times New Roman" w:eastAsia="黑体" w:cs="黑体"/>
          <w:color w:val="000000" w:themeColor="text1"/>
          <w:sz w:val="32"/>
          <w:szCs w:val="32"/>
          <w:u w:val="none"/>
          <w14:textFill>
            <w14:solidFill>
              <w14:schemeClr w14:val="tx1"/>
            </w14:solidFill>
          </w14:textFill>
        </w:rPr>
        <w:t>第</w:t>
      </w:r>
      <w:r>
        <w:rPr>
          <w:rFonts w:hint="eastAsia" w:eastAsia="黑体" w:cs="黑体"/>
          <w:color w:val="000000" w:themeColor="text1"/>
          <w:sz w:val="32"/>
          <w:szCs w:val="32"/>
          <w:u w:val="none"/>
          <w:lang w:val="en-US" w:eastAsia="zh-CN"/>
          <w14:textFill>
            <w14:solidFill>
              <w14:schemeClr w14:val="tx1"/>
            </w14:solidFill>
          </w14:textFill>
        </w:rPr>
        <w:t>四十五</w:t>
      </w:r>
      <w:r>
        <w:rPr>
          <w:rFonts w:hint="eastAsia" w:ascii="Times New Roman" w:hAnsi="Times New Roman" w:eastAsia="黑体" w:cs="黑体"/>
          <w:color w:val="000000" w:themeColor="text1"/>
          <w:sz w:val="32"/>
          <w:szCs w:val="32"/>
          <w:u w:val="none"/>
          <w14:textFill>
            <w14:solidFill>
              <w14:schemeClr w14:val="tx1"/>
            </w14:solidFill>
          </w14:textFill>
        </w:rPr>
        <w:t>条</w:t>
      </w:r>
      <w:r>
        <w:rPr>
          <w:rFonts w:hint="eastAsia" w:ascii="Times New Roman" w:hAnsi="Times New Roman" w:eastAsia="黑体" w:cs="黑体"/>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 xml:space="preserve"> 县属国企作为建设单位实施的政府投资项目参照本办法有关规定执行。</w:t>
      </w:r>
      <w:r>
        <w:rPr>
          <w:rFonts w:hint="eastAsia" w:ascii="Times New Roman" w:hAnsi="Times New Roman" w:eastAsia="仿宋_GB2312" w:cs="仿宋_GB2312"/>
          <w:color w:val="000000" w:themeColor="text1"/>
          <w:sz w:val="32"/>
          <w:szCs w:val="32"/>
          <w:u w:val="none"/>
          <w14:textFill>
            <w14:solidFill>
              <w14:schemeClr w14:val="tx1"/>
            </w14:solidFill>
          </w14:textFill>
        </w:rPr>
        <w:t>本办法自</w:t>
      </w:r>
      <w:r>
        <w:rPr>
          <w:rFonts w:hint="eastAsia" w:ascii="Times New Roman" w:hAnsi="Times New Roman" w:eastAsia="仿宋_GB2312" w:cs="仿宋_GB2312"/>
          <w:color w:val="000000" w:themeColor="text1"/>
          <w:sz w:val="32"/>
          <w:szCs w:val="32"/>
          <w:u w:val="none"/>
          <w:lang w:val="en-US" w:eastAsia="zh-CN"/>
          <w14:textFill>
            <w14:solidFill>
              <w14:schemeClr w14:val="tx1"/>
            </w14:solidFill>
          </w14:textFill>
        </w:rPr>
        <w:t>印发之日起</w:t>
      </w:r>
      <w:r>
        <w:rPr>
          <w:rFonts w:hint="eastAsia" w:ascii="Times New Roman" w:hAnsi="Times New Roman" w:eastAsia="仿宋_GB2312" w:cs="仿宋_GB2312"/>
          <w:color w:val="000000" w:themeColor="text1"/>
          <w:sz w:val="32"/>
          <w:szCs w:val="32"/>
          <w:u w:val="none"/>
          <w14:textFill>
            <w14:solidFill>
              <w14:schemeClr w14:val="tx1"/>
            </w14:solidFill>
          </w14:textFill>
        </w:rPr>
        <w:t>施行，有效期5年。</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此前有关规定</w:t>
      </w:r>
      <w:r>
        <w:rPr>
          <w:rFonts w:hint="eastAsia" w:ascii="Times New Roman" w:hAnsi="Times New Roman" w:eastAsia="仿宋_GB2312" w:cs="仿宋_GB2312"/>
          <w:color w:val="000000" w:themeColor="text1"/>
          <w:sz w:val="32"/>
          <w:szCs w:val="32"/>
          <w:u w:val="none"/>
          <w14:textFill>
            <w14:solidFill>
              <w14:schemeClr w14:val="tx1"/>
            </w14:solidFill>
          </w14:textFill>
        </w:rPr>
        <w:t>与本办法不一致的，遵照本办法执行</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若国家</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、省、市</w:t>
      </w:r>
      <w:r>
        <w:rPr>
          <w:rFonts w:hint="eastAsia" w:ascii="Times New Roman" w:hAnsi="Times New Roman" w:eastAsia="仿宋_GB2312" w:cs="仿宋_GB2312"/>
          <w:color w:val="000000" w:themeColor="text1"/>
          <w:sz w:val="32"/>
          <w:szCs w:val="32"/>
          <w:u w:val="none"/>
          <w14:textFill>
            <w14:solidFill>
              <w14:schemeClr w14:val="tx1"/>
            </w14:solidFill>
          </w14:textFill>
        </w:rPr>
        <w:t>有新规定</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或特别规定</w:t>
      </w:r>
      <w:r>
        <w:rPr>
          <w:rFonts w:hint="eastAsia" w:ascii="Times New Roman" w:hAnsi="Times New Roman" w:eastAsia="仿宋_GB2312" w:cs="仿宋_GB2312"/>
          <w:color w:val="000000" w:themeColor="text1"/>
          <w:sz w:val="32"/>
          <w:szCs w:val="32"/>
          <w:u w:val="none"/>
          <w14:textFill>
            <w14:solidFill>
              <w14:schemeClr w14:val="tx1"/>
            </w14:solidFill>
          </w14:textFill>
        </w:rPr>
        <w:t>的</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u w:val="none"/>
          <w14:textFill>
            <w14:solidFill>
              <w14:schemeClr w14:val="tx1"/>
            </w14:solidFill>
          </w14:textFill>
        </w:rPr>
        <w:t>从其规定</w:t>
      </w:r>
      <w:r>
        <w:rPr>
          <w:rFonts w:hint="eastAsia" w:ascii="Times New Roman" w:hAnsi="Times New Roman" w:eastAsia="仿宋_GB2312" w:cs="仿宋_GB2312"/>
          <w:color w:val="000000" w:themeColor="text1"/>
          <w:sz w:val="32"/>
          <w:szCs w:val="32"/>
          <w:u w:val="none"/>
          <w:lang w:eastAsia="zh-CN"/>
          <w14:textFill>
            <w14:solidFill>
              <w14:schemeClr w14:val="tx1"/>
            </w14:solidFill>
          </w14:textFill>
        </w:rPr>
        <w:t>。</w:t>
      </w:r>
    </w:p>
    <w:p w14:paraId="1B38A663">
      <w:pPr>
        <w:spacing w:line="560" w:lineRule="exact"/>
        <w:rPr>
          <w:color w:val="000000" w:themeColor="text1"/>
          <w14:textFill>
            <w14:solidFill>
              <w14:schemeClr w14:val="tx1"/>
            </w14:solidFill>
          </w14:textFill>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周显强" w:date="2023-09-01T14:26:46Z" w:initials="">
    <w:p w14:paraId="34EF1BDC">
      <w:pPr>
        <w:pStyle w:val="5"/>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4EF1B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8D7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CE361">
                          <w:pPr>
                            <w:pStyle w:val="7"/>
                            <w:rPr>
                              <w:rFonts w:hint="eastAsia" w:eastAsia="宋体"/>
                              <w:lang w:eastAsia="zh-CN"/>
                            </w:rPr>
                          </w:pPr>
                          <w:r>
                            <w:rPr>
                              <w:rFonts w:hint="eastAsia"/>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6CE361">
                    <w:pPr>
                      <w:pStyle w:val="7"/>
                      <w:rPr>
                        <w:rFonts w:hint="eastAsia" w:eastAsia="宋体"/>
                        <w:lang w:eastAsia="zh-CN"/>
                      </w:rPr>
                    </w:pPr>
                    <w:r>
                      <w:rPr>
                        <w:rFonts w:hint="eastAsia"/>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lang w:eastAsia="zh-CN"/>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显强">
    <w15:presenceInfo w15:providerId="WPS Office" w15:userId="16869363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wZGMxZDhmOTAwNjE1MDZkZjBjYmVmYzZmYmY5NWEifQ=="/>
  </w:docVars>
  <w:rsids>
    <w:rsidRoot w:val="276271EB"/>
    <w:rsid w:val="053D4207"/>
    <w:rsid w:val="063752D2"/>
    <w:rsid w:val="06443552"/>
    <w:rsid w:val="067E2EB5"/>
    <w:rsid w:val="079E5BD7"/>
    <w:rsid w:val="089506C9"/>
    <w:rsid w:val="090400FF"/>
    <w:rsid w:val="09E62B10"/>
    <w:rsid w:val="0DE85201"/>
    <w:rsid w:val="0E4F7B87"/>
    <w:rsid w:val="11165B17"/>
    <w:rsid w:val="121656BA"/>
    <w:rsid w:val="12C84B25"/>
    <w:rsid w:val="15713EC3"/>
    <w:rsid w:val="15721341"/>
    <w:rsid w:val="15D44729"/>
    <w:rsid w:val="16884C04"/>
    <w:rsid w:val="170314C3"/>
    <w:rsid w:val="19C34035"/>
    <w:rsid w:val="1CA24664"/>
    <w:rsid w:val="206803EA"/>
    <w:rsid w:val="215B18B8"/>
    <w:rsid w:val="22D8243B"/>
    <w:rsid w:val="24F167B6"/>
    <w:rsid w:val="276271EB"/>
    <w:rsid w:val="286204AC"/>
    <w:rsid w:val="2A780F4B"/>
    <w:rsid w:val="2B84608A"/>
    <w:rsid w:val="2BC86EE0"/>
    <w:rsid w:val="2E640D46"/>
    <w:rsid w:val="301510E2"/>
    <w:rsid w:val="33136583"/>
    <w:rsid w:val="363071F0"/>
    <w:rsid w:val="3BA25663"/>
    <w:rsid w:val="40802BD2"/>
    <w:rsid w:val="42F5420C"/>
    <w:rsid w:val="432E2BCC"/>
    <w:rsid w:val="456C3DD5"/>
    <w:rsid w:val="473D2A32"/>
    <w:rsid w:val="498C4C62"/>
    <w:rsid w:val="4E9A3898"/>
    <w:rsid w:val="514E49C3"/>
    <w:rsid w:val="51A02B7A"/>
    <w:rsid w:val="53E574C9"/>
    <w:rsid w:val="57B60E18"/>
    <w:rsid w:val="581F5605"/>
    <w:rsid w:val="5CEE2982"/>
    <w:rsid w:val="60031660"/>
    <w:rsid w:val="606127BD"/>
    <w:rsid w:val="6348700B"/>
    <w:rsid w:val="66B348F4"/>
    <w:rsid w:val="678036DB"/>
    <w:rsid w:val="68E42202"/>
    <w:rsid w:val="6B1A7AFF"/>
    <w:rsid w:val="74F0360D"/>
    <w:rsid w:val="76AB6729"/>
    <w:rsid w:val="771F62CC"/>
    <w:rsid w:val="77221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文本"/>
    <w:basedOn w:val="1"/>
    <w:next w:val="3"/>
    <w:qFormat/>
    <w:uiPriority w:val="0"/>
    <w:pPr>
      <w:spacing w:line="360" w:lineRule="auto"/>
      <w:ind w:firstLine="480"/>
    </w:pPr>
    <w:rPr>
      <w:rFonts w:ascii="Times New Roman" w:hAnsi="Times New Roman" w:eastAsia="宋体" w:cs="Times New Roman"/>
      <w:sz w:val="24"/>
    </w:rPr>
  </w:style>
  <w:style w:type="paragraph" w:styleId="3">
    <w:name w:val="Normal Indent"/>
    <w:basedOn w:val="1"/>
    <w:next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Body text|1"/>
    <w:basedOn w:val="1"/>
    <w:qFormat/>
    <w:uiPriority w:val="0"/>
    <w:pPr>
      <w:widowControl w:val="0"/>
      <w:shd w:val="clear" w:color="auto" w:fill="auto"/>
      <w:spacing w:line="449" w:lineRule="auto"/>
      <w:ind w:firstLine="400"/>
    </w:pPr>
    <w:rPr>
      <w:rFonts w:ascii="宋体" w:hAnsi="宋体" w:eastAsia="宋体" w:cs="宋体"/>
      <w:sz w:val="18"/>
      <w:szCs w:val="18"/>
      <w:u w:val="none"/>
      <w:shd w:val="clear" w:color="auto" w:fill="auto"/>
      <w:lang w:val="zh-CN" w:eastAsia="zh-CN" w:bidi="zh-C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5816</Words>
  <Characters>5818</Characters>
  <Lines>0</Lines>
  <Paragraphs>0</Paragraphs>
  <TotalTime>8</TotalTime>
  <ScaleCrop>false</ScaleCrop>
  <LinksUpToDate>false</LinksUpToDate>
  <CharactersWithSpaces>5926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2023-05-10T01:03:00Z</dcterms:created>
  <dc:creator>周显强</dc:creator>
  <cp:lastModifiedBy>WPS_1614761123</cp:lastModifiedBy>
  <cp:lastPrinted>2026-09-29T02:05:05Z</cp:lastPrinted>
  <dcterms:modified xsi:type="dcterms:W3CDTF">2026-09-29T02:22:56Z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DF03C30B45D44465B3774D5314D39634_13</vt:lpwstr>
  </property>
  <property fmtid="{D5CDD505-2E9C-101B-9397-08002B2CF9AE}" pid="4" name="KSOTemplateDocerSaveRecord">
    <vt:lpwstr>eyJoZGlkIjoiMzk3ZTJiYjAzMzRhZmViYmRjMWU3ZGU0YTg2ZTZiMjkiLCJ1c2VySWQiOiIxMTczMjU5MzcxIn0=</vt:lpwstr>
  </property>
</Properties>
</file>