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F2C26">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193"/>
      <w:bookmarkStart w:id="2" w:name="_Toc15377425"/>
      <w:bookmarkStart w:id="3" w:name="_Toc15396597"/>
      <w:bookmarkStart w:id="4" w:name="_Toc15378441"/>
      <w:bookmarkStart w:id="5" w:name="_Toc15306267"/>
    </w:p>
    <w:p w14:paraId="7187BC8F">
      <w:pPr>
        <w:pStyle w:val="6"/>
        <w:rPr>
          <w:rFonts w:hint="eastAsia" w:ascii="Times New Roman" w:hAnsi="Times New Roman" w:eastAsia="方正小标宋简体" w:cs="Times New Roman"/>
          <w:color w:val="auto"/>
          <w:kern w:val="2"/>
          <w:sz w:val="72"/>
          <w:szCs w:val="72"/>
          <w:highlight w:val="none"/>
          <w:lang w:val="en-US" w:eastAsia="zh-CN" w:bidi="ar-SA"/>
        </w:rPr>
      </w:pPr>
    </w:p>
    <w:p w14:paraId="28424BB2">
      <w:pPr>
        <w:pStyle w:val="6"/>
        <w:rPr>
          <w:rFonts w:hint="eastAsia" w:ascii="Times New Roman" w:hAnsi="Times New Roman" w:eastAsia="方正小标宋简体" w:cs="Times New Roman"/>
          <w:color w:val="auto"/>
          <w:kern w:val="2"/>
          <w:sz w:val="72"/>
          <w:szCs w:val="72"/>
          <w:highlight w:val="none"/>
          <w:lang w:val="en-US" w:eastAsia="zh-CN" w:bidi="ar-SA"/>
        </w:rPr>
      </w:pPr>
    </w:p>
    <w:p w14:paraId="02EFBC37">
      <w:pPr>
        <w:pStyle w:val="6"/>
        <w:rPr>
          <w:rFonts w:hint="eastAsia" w:ascii="Times New Roman" w:hAnsi="Times New Roman" w:eastAsia="方正小标宋简体" w:cs="Times New Roman"/>
          <w:color w:val="auto"/>
          <w:kern w:val="2"/>
          <w:sz w:val="72"/>
          <w:szCs w:val="72"/>
          <w:highlight w:val="none"/>
          <w:lang w:val="en-US" w:eastAsia="zh-CN" w:bidi="ar-SA"/>
        </w:rPr>
      </w:pPr>
    </w:p>
    <w:p w14:paraId="34BE3188">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7DD0C9EE">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3883D67D">
      <w:pPr>
        <w:spacing w:line="600" w:lineRule="exact"/>
        <w:jc w:val="center"/>
        <w:outlineLvl w:val="0"/>
        <w:rPr>
          <w:rFonts w:ascii="Times New Roman" w:hAnsi="Times New Roman" w:eastAsia="方正小标宋简体"/>
          <w:color w:val="auto"/>
          <w:sz w:val="72"/>
          <w:szCs w:val="72"/>
          <w:highlight w:val="none"/>
        </w:rPr>
      </w:pPr>
    </w:p>
    <w:p w14:paraId="6A11F346">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5F3BB28">
      <w:pPr>
        <w:rPr>
          <w:rFonts w:ascii="Times New Roman" w:hAnsi="Times New Roman"/>
        </w:rPr>
      </w:pPr>
    </w:p>
    <w:p w14:paraId="1F3D9A8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8F0A0D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003E7A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33DAFC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9DBFD93">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8442"/>
      <w:bookmarkStart w:id="10" w:name="_Toc15377194"/>
      <w:r>
        <w:rPr>
          <w:rFonts w:hint="eastAsia" w:ascii="Times New Roman" w:eastAsia="方正小标宋简体" w:cs="Times New Roman"/>
          <w:color w:val="auto"/>
          <w:kern w:val="2"/>
          <w:sz w:val="44"/>
          <w:szCs w:val="44"/>
          <w:highlight w:val="none"/>
          <w:lang w:val="en-US" w:eastAsia="zh-CN" w:bidi="ar-SA"/>
        </w:rPr>
        <w:t>2025年度</w:t>
      </w:r>
    </w:p>
    <w:p w14:paraId="7DE1C995">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End w:id="6"/>
      <w:bookmarkEnd w:id="7"/>
      <w:bookmarkEnd w:id="8"/>
      <w:bookmarkEnd w:id="9"/>
      <w:bookmarkEnd w:id="10"/>
      <w:bookmarkStart w:id="11" w:name="_Toc15306268"/>
      <w:r>
        <w:rPr>
          <w:rFonts w:hint="eastAsia" w:ascii="Times New Roman" w:eastAsia="方正小标宋简体" w:cs="Times New Roman"/>
          <w:color w:val="auto"/>
          <w:kern w:val="2"/>
          <w:sz w:val="44"/>
          <w:szCs w:val="44"/>
          <w:highlight w:val="none"/>
          <w:lang w:val="en-US" w:eastAsia="zh-CN" w:bidi="ar-SA"/>
        </w:rPr>
        <w:t>井研县千佛镇人民政府</w:t>
      </w:r>
    </w:p>
    <w:p w14:paraId="7D5E576B">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11"/>
    </w:p>
    <w:p w14:paraId="5208E16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6F534D5">
      <w:pPr>
        <w:widowControl/>
        <w:jc w:val="center"/>
        <w:rPr>
          <w:rFonts w:hint="eastAsia" w:ascii="Times New Roman" w:hAnsi="Times New Roman" w:eastAsia="黑体"/>
          <w:color w:val="auto"/>
          <w:sz w:val="48"/>
          <w:szCs w:val="48"/>
          <w:highlight w:val="none"/>
        </w:rPr>
      </w:pPr>
    </w:p>
    <w:p w14:paraId="5EF222DC">
      <w:pPr>
        <w:widowControl/>
        <w:jc w:val="center"/>
        <w:rPr>
          <w:rFonts w:hint="eastAsia" w:ascii="Times New Roman" w:hAnsi="Times New Roman" w:eastAsia="黑体"/>
          <w:color w:val="auto"/>
          <w:sz w:val="48"/>
          <w:szCs w:val="48"/>
          <w:highlight w:val="none"/>
        </w:rPr>
      </w:pPr>
    </w:p>
    <w:p w14:paraId="3639C737">
      <w:pPr>
        <w:widowControl/>
        <w:jc w:val="center"/>
        <w:rPr>
          <w:rFonts w:hint="eastAsia" w:ascii="Times New Roman" w:hAnsi="Times New Roman" w:eastAsia="黑体"/>
          <w:color w:val="auto"/>
          <w:sz w:val="48"/>
          <w:szCs w:val="48"/>
          <w:highlight w:val="none"/>
        </w:rPr>
      </w:pPr>
    </w:p>
    <w:p w14:paraId="3F0DDAB2">
      <w:pPr>
        <w:widowControl/>
        <w:jc w:val="center"/>
        <w:rPr>
          <w:rFonts w:hint="eastAsia" w:ascii="Times New Roman" w:hAnsi="Times New Roman" w:eastAsia="黑体"/>
          <w:color w:val="auto"/>
          <w:sz w:val="48"/>
          <w:szCs w:val="48"/>
          <w:highlight w:val="none"/>
        </w:rPr>
      </w:pPr>
    </w:p>
    <w:p w14:paraId="7043F232">
      <w:pPr>
        <w:widowControl/>
        <w:jc w:val="center"/>
        <w:rPr>
          <w:rFonts w:hint="eastAsia" w:ascii="Times New Roman" w:hAnsi="Times New Roman" w:eastAsia="黑体"/>
          <w:color w:val="auto"/>
          <w:sz w:val="48"/>
          <w:szCs w:val="48"/>
          <w:highlight w:val="none"/>
        </w:rPr>
      </w:pPr>
    </w:p>
    <w:p w14:paraId="77E79AC4">
      <w:pPr>
        <w:widowControl/>
        <w:jc w:val="center"/>
        <w:rPr>
          <w:rFonts w:hint="eastAsia" w:ascii="Times New Roman" w:hAnsi="Times New Roman" w:eastAsia="黑体"/>
          <w:color w:val="auto"/>
          <w:sz w:val="48"/>
          <w:szCs w:val="48"/>
          <w:highlight w:val="none"/>
        </w:rPr>
      </w:pPr>
    </w:p>
    <w:p w14:paraId="05D03675">
      <w:pPr>
        <w:widowControl/>
        <w:jc w:val="center"/>
        <w:rPr>
          <w:rFonts w:hint="eastAsia" w:ascii="Times New Roman" w:hAnsi="Times New Roman" w:eastAsia="黑体"/>
          <w:color w:val="auto"/>
          <w:sz w:val="48"/>
          <w:szCs w:val="48"/>
          <w:highlight w:val="none"/>
        </w:rPr>
      </w:pPr>
    </w:p>
    <w:p w14:paraId="0A1A622A">
      <w:pPr>
        <w:widowControl/>
        <w:jc w:val="center"/>
        <w:rPr>
          <w:rFonts w:hint="eastAsia" w:ascii="Times New Roman" w:hAnsi="Times New Roman" w:eastAsia="黑体"/>
          <w:color w:val="auto"/>
          <w:sz w:val="48"/>
          <w:szCs w:val="48"/>
          <w:highlight w:val="none"/>
        </w:rPr>
      </w:pPr>
    </w:p>
    <w:p w14:paraId="25B48462">
      <w:pPr>
        <w:widowControl/>
        <w:jc w:val="center"/>
        <w:rPr>
          <w:rFonts w:hint="eastAsia" w:ascii="Times New Roman" w:hAnsi="Times New Roman" w:eastAsia="黑体"/>
          <w:color w:val="auto"/>
          <w:sz w:val="48"/>
          <w:szCs w:val="48"/>
          <w:highlight w:val="none"/>
        </w:rPr>
      </w:pPr>
    </w:p>
    <w:p w14:paraId="1D62A1C6">
      <w:pPr>
        <w:widowControl/>
        <w:jc w:val="center"/>
        <w:rPr>
          <w:rFonts w:hint="eastAsia" w:ascii="Times New Roman" w:hAnsi="Times New Roman" w:eastAsia="黑体"/>
          <w:color w:val="auto"/>
          <w:sz w:val="48"/>
          <w:szCs w:val="48"/>
          <w:highlight w:val="none"/>
        </w:rPr>
      </w:pPr>
    </w:p>
    <w:p w14:paraId="6DD0F73E">
      <w:pPr>
        <w:widowControl/>
        <w:jc w:val="center"/>
        <w:rPr>
          <w:rFonts w:hint="eastAsia" w:ascii="Times New Roman" w:hAnsi="Times New Roman" w:eastAsia="黑体"/>
          <w:color w:val="auto"/>
          <w:sz w:val="48"/>
          <w:szCs w:val="48"/>
          <w:highlight w:val="none"/>
        </w:rPr>
      </w:pPr>
    </w:p>
    <w:p w14:paraId="10BFCDA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A70E5E1">
      <w:pPr>
        <w:widowControl/>
        <w:jc w:val="center"/>
        <w:rPr>
          <w:rFonts w:ascii="Times New Roman" w:hAnsi="Times New Roman" w:eastAsia="黑体" w:cstheme="minorBidi"/>
          <w:color w:val="auto"/>
          <w:sz w:val="28"/>
          <w:szCs w:val="28"/>
          <w:highlight w:val="none"/>
        </w:rPr>
      </w:pPr>
    </w:p>
    <w:p w14:paraId="79541E3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37D8B208">
      <w:pPr>
        <w:rPr>
          <w:rFonts w:ascii="Times New Roman" w:hAnsi="Times New Roman"/>
          <w:color w:val="auto"/>
          <w:highlight w:val="none"/>
        </w:rPr>
      </w:pPr>
    </w:p>
    <w:p w14:paraId="67953B4D">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_Toc11947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p>
    <w:p w14:paraId="483D2C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_Toc24989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bookmarkStart w:id="74" w:name="_GoBack"/>
      <w:bookmarkEnd w:id="74"/>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0620F0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_Toc11842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fldChar w:fldCharType="end"/>
      </w:r>
    </w:p>
    <w:p w14:paraId="57B7EA3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_Toc20051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3</w:t>
      </w:r>
      <w:r>
        <w:rPr>
          <w:rFonts w:hint="eastAsia" w:ascii="Times New Roman" w:hAnsi="Times New Roman" w:eastAsia="黑体" w:cs="黑体"/>
          <w:color w:val="auto"/>
          <w:sz w:val="32"/>
          <w:szCs w:val="32"/>
          <w:highlight w:val="none"/>
        </w:rPr>
        <w:fldChar w:fldCharType="end"/>
      </w:r>
    </w:p>
    <w:p w14:paraId="18F0972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_Toc30929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val="en-US" w:eastAsia="zh-CN"/>
        </w:rPr>
        <w:t>一、收入支出决算总体情况说明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648E9E8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_Toc2225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w:t>
      </w:r>
      <w:r>
        <w:rPr>
          <w:rFonts w:hint="eastAsia" w:ascii="Times New Roman" w:hAnsi="Times New Roman" w:eastAsia="仿宋_GB2312" w:cs="仿宋_GB2312"/>
          <w:color w:val="auto"/>
          <w:sz w:val="32"/>
          <w:szCs w:val="32"/>
          <w:highlight w:val="none"/>
          <w:lang w:val="en-US" w:eastAsia="zh-CN"/>
        </w:rPr>
        <w:t>收入决算情况说明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016D677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_Toc17288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2F39E99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_Toc14701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5FE8C22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_Toc2678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662A68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_Toc21240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1D2789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_Toc19482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10</w:t>
      </w:r>
    </w:p>
    <w:p w14:paraId="587AEF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_Toc28978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2</w:t>
      </w:r>
    </w:p>
    <w:p w14:paraId="238472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_Toc19636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fldChar w:fldCharType="end"/>
      </w:r>
    </w:p>
    <w:p w14:paraId="1239EA2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_Toc23311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3</w:t>
      </w:r>
    </w:p>
    <w:p w14:paraId="2EB198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_Toc2017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4</w:t>
      </w:r>
    </w:p>
    <w:p w14:paraId="4F91EA2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_Toc31630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0</w:t>
      </w:r>
    </w:p>
    <w:p w14:paraId="62D977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_Toc30302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附件</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fldChar w:fldCharType="end"/>
      </w:r>
      <w:r>
        <w:rPr>
          <w:rFonts w:hint="eastAsia" w:eastAsia="仿宋_GB2312" w:cs="仿宋_GB2312"/>
          <w:color w:val="auto"/>
          <w:sz w:val="32"/>
          <w:szCs w:val="32"/>
          <w:highlight w:val="none"/>
          <w:lang w:val="en-US" w:eastAsia="zh-CN"/>
        </w:rPr>
        <w:t>0</w:t>
      </w:r>
    </w:p>
    <w:p w14:paraId="18A4AFF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黑体" w:cs="仿宋_GB2312"/>
          <w:b/>
          <w:bCs/>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_Toc8282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 附表</w:t>
      </w:r>
      <w:r>
        <w:rPr>
          <w:rFonts w:hint="eastAsia"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ab/>
      </w:r>
      <w:r>
        <w:rPr>
          <w:rFonts w:hint="eastAsia"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eastAsia="黑体" w:cs="黑体"/>
          <w:color w:val="auto"/>
          <w:sz w:val="32"/>
          <w:szCs w:val="32"/>
          <w:highlight w:val="none"/>
          <w:lang w:val="en-US" w:eastAsia="zh-CN"/>
        </w:rPr>
        <w:t>8</w:t>
      </w:r>
    </w:p>
    <w:p w14:paraId="378E5C25">
      <w:pPr>
        <w:pStyle w:val="3"/>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14:paraId="6D1F06A4">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val="en-US"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14:paraId="54694DA6">
      <w:pPr>
        <w:widowControl/>
        <w:jc w:val="left"/>
        <w:rPr>
          <w:rFonts w:ascii="Times New Roman" w:hAnsi="Times New Roman" w:eastAsia="黑体"/>
          <w:color w:val="auto"/>
          <w:sz w:val="32"/>
          <w:szCs w:val="32"/>
          <w:highlight w:val="none"/>
        </w:rPr>
      </w:pPr>
    </w:p>
    <w:p w14:paraId="21FB152D">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p>
    <w:p w14:paraId="292E53B6">
      <w:pPr>
        <w:ind w:firstLine="800" w:firstLineChars="250"/>
        <w:rPr>
          <w:rFonts w:hint="eastAsia" w:ascii="仿宋_GB2312" w:hAnsi="仿宋_GB2312" w:eastAsia="仿宋_GB2312" w:cs="仿宋_GB2312"/>
          <w:sz w:val="32"/>
          <w:szCs w:val="32"/>
        </w:rPr>
      </w:pPr>
      <w:bookmarkStart w:id="14" w:name="_Toc15378446"/>
      <w:bookmarkStart w:id="15" w:name="_Toc15377199"/>
      <w:r>
        <w:rPr>
          <w:rFonts w:hint="eastAsia" w:ascii="仿宋_GB2312" w:hAnsi="仿宋_GB2312" w:eastAsia="仿宋_GB2312" w:cs="仿宋_GB2312"/>
          <w:sz w:val="32"/>
          <w:szCs w:val="32"/>
        </w:rPr>
        <w:t>（1）贯彻落实党的路线方针政策和国家法律法规以及上级党委、政府的决议、决定和命令，执行镇党委和镇人民代表大会的决议，加强农村基层政权建设，巩固党在农村的执政基础。</w:t>
      </w:r>
    </w:p>
    <w:p w14:paraId="400BC3BC">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（2）组织编制本行政区域经济社会发展规划和镇国土空间规划、村规划等有关规划，负责农村基础设施和各项公益事业建设，实施乡村振兴战略，加快经济社会发展，改善群众生产生活环境。</w:t>
      </w:r>
    </w:p>
    <w:p w14:paraId="789CA73F">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（3）指导农村经济发展，推进农业经济结构调整，促进经济增长方式转变，促进农业增效，农民增收。</w:t>
      </w:r>
    </w:p>
    <w:p w14:paraId="146FB726">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强农村公共服务体系建设，抓好基础教育、科技、文化、旅游、体育、卫生健康等工作，做好民政事务、就业培训、社会保障、社会救助、劳动关系协调、民族宗教、退役军人事务等工作，促进农村社会事业健康发展。</w:t>
      </w:r>
    </w:p>
    <w:p w14:paraId="615E4C62">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（5）加强社会管理，负责或配合县级有关部门做好辖区内自然资源、生态环境保护、市场监管、统计、粮食安全、供销合作、脱贫攻坚等工作。</w:t>
      </w:r>
    </w:p>
    <w:p w14:paraId="45825C41">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（6）推进基层民主法治建设，加强普法依法治理，指导村（居）民委员会工作，维护群众合法权益。</w:t>
      </w:r>
    </w:p>
    <w:p w14:paraId="0A9BFD6F">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（7）承担辖区内平安建设、社会治安综合治理、公共安全、安全生产及应急管理等有关工作，处理群众来信来访，化解矛盾纠纷，维护社会安全稳定。</w:t>
      </w:r>
    </w:p>
    <w:p w14:paraId="029937DD">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（8）负责制定完善权力清单、责任清单、公共服务清单，建立清单动态调整和公示机制，推进政务公开，接受群众监督，增强政府公信力。</w:t>
      </w:r>
    </w:p>
    <w:p w14:paraId="5AC76EAB">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（9）负责国防教育、后备力量建设和兵役征集等有关工作。</w:t>
      </w:r>
    </w:p>
    <w:p w14:paraId="25FF0F6C">
      <w:pPr>
        <w:ind w:firstLine="800" w:firstLineChars="250"/>
        <w:rPr>
          <w:rFonts w:hint="eastAsia"/>
          <w:lang w:eastAsia="zh-CN"/>
        </w:rPr>
      </w:pPr>
      <w:r>
        <w:rPr>
          <w:rFonts w:hint="eastAsia" w:ascii="仿宋_GB2312" w:hAnsi="仿宋_GB2312" w:eastAsia="仿宋_GB2312" w:cs="仿宋_GB2312"/>
          <w:sz w:val="32"/>
          <w:szCs w:val="32"/>
        </w:rPr>
        <w:t>（10）承担法律、法规、规章规定的其他职责和上级党委、政府交办的其他任务。</w:t>
      </w:r>
      <w:bookmarkEnd w:id="14"/>
      <w:bookmarkEnd w:id="15"/>
    </w:p>
    <w:p w14:paraId="6663C892">
      <w:pPr>
        <w:pStyle w:val="4"/>
        <w:rPr>
          <w:rStyle w:val="30"/>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14:paraId="081A246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井研县千佛镇人民政府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52F7FDD">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井研县千佛镇</w:t>
      </w:r>
      <w:r>
        <w:rPr>
          <w:rFonts w:hint="eastAsia" w:hAnsi="仿宋_GB2312" w:cs="仿宋_GB2312"/>
          <w:color w:val="auto"/>
          <w:sz w:val="32"/>
          <w:szCs w:val="32"/>
          <w:highlight w:val="none"/>
          <w:lang w:val="en-US" w:eastAsia="zh-CN"/>
        </w:rPr>
        <w:t>部门</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16A8BD6D">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8" w:name="_Toc15377202"/>
      <w:bookmarkStart w:id="19" w:name="_Toc15378449"/>
      <w:bookmarkStart w:id="20" w:name="_Toc15306276"/>
      <w:bookmarkStart w:id="21" w:name="_Toc15377433"/>
      <w:r>
        <w:rPr>
          <w:rFonts w:hint="eastAsia" w:ascii="Times New Roman" w:cs="仿宋_GB2312"/>
          <w:color w:val="auto"/>
          <w:sz w:val="32"/>
          <w:szCs w:val="32"/>
          <w:highlight w:val="none"/>
          <w:lang w:val="en-US" w:eastAsia="zh-CN"/>
        </w:rPr>
        <w:t>井研县千佛镇人民政府</w:t>
      </w:r>
      <w:bookmarkEnd w:id="18"/>
      <w:bookmarkEnd w:id="19"/>
      <w:bookmarkEnd w:id="20"/>
      <w:bookmarkEnd w:id="21"/>
    </w:p>
    <w:p w14:paraId="12219CB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B19CC13">
      <w:pPr>
        <w:pStyle w:val="3"/>
        <w:jc w:val="center"/>
        <w:rPr>
          <w:rFonts w:hint="eastAsia" w:ascii="Times New Roman" w:hAnsi="Times New Roman" w:eastAsia="方正小标宋简体" w:cs="方正小标宋简体"/>
          <w:b w:val="0"/>
          <w:color w:val="auto"/>
          <w:highlight w:val="none"/>
        </w:rPr>
      </w:pPr>
      <w:bookmarkStart w:id="22" w:name="_Toc15377204"/>
      <w:bookmarkStart w:id="2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2"/>
      <w:bookmarkEnd w:id="23"/>
    </w:p>
    <w:p w14:paraId="7262BF0F">
      <w:pPr>
        <w:rPr>
          <w:rFonts w:ascii="Times New Roman" w:hAnsi="Times New Roman"/>
          <w:color w:val="auto"/>
          <w:highlight w:val="none"/>
        </w:rPr>
      </w:pPr>
    </w:p>
    <w:p w14:paraId="7CB7E4A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5"/>
      <w:bookmarkStart w:id="2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4"/>
      <w:bookmarkEnd w:id="25"/>
    </w:p>
    <w:p w14:paraId="4A5280F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仿宋_GB2312" w:hAnsi="仿宋_GB2312" w:eastAsia="仿宋_GB2312" w:cs="仿宋_GB2312"/>
          <w:sz w:val="32"/>
          <w:szCs w:val="32"/>
          <w:lang w:val="en-US" w:eastAsia="zh-CN"/>
        </w:rPr>
        <w:t>241.42</w:t>
      </w:r>
      <w:r>
        <w:rPr>
          <w:rFonts w:hint="eastAsia" w:ascii="Times New Roman" w:hAnsi="Times New Roman" w:eastAsia="仿宋_GB2312" w:cs="仿宋_GB2312"/>
          <w:color w:val="auto"/>
          <w:sz w:val="32"/>
          <w:szCs w:val="32"/>
          <w:highlight w:val="none"/>
        </w:rPr>
        <w:t>万元，下降</w:t>
      </w:r>
      <w:r>
        <w:rPr>
          <w:rFonts w:hint="eastAsia" w:ascii="仿宋_GB2312" w:hAnsi="仿宋_GB2312" w:eastAsia="仿宋_GB2312" w:cs="仿宋_GB2312"/>
          <w:sz w:val="32"/>
          <w:szCs w:val="32"/>
          <w:lang w:val="en-US" w:eastAsia="zh-CN"/>
        </w:rPr>
        <w:t>13.53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农林业支出，农村综合改革等一次性项目减少。</w:t>
      </w:r>
    </w:p>
    <w:p w14:paraId="700871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1144270</wp:posOffset>
            </wp:positionH>
            <wp:positionV relativeFrom="paragraph">
              <wp:posOffset>42545</wp:posOffset>
            </wp:positionV>
            <wp:extent cx="3343275" cy="1674495"/>
            <wp:effectExtent l="4445" t="4445" r="5080" b="1651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A61D29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27062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15396604"/>
      <w:bookmarkStart w:id="27" w:name="_Toc15377206"/>
      <w:r>
        <w:rPr>
          <w:rFonts w:hint="eastAsia" w:ascii="Times New Roman" w:hAnsi="Times New Roman" w:eastAsia="黑体"/>
          <w:color w:val="auto"/>
          <w:sz w:val="32"/>
          <w:szCs w:val="32"/>
          <w:highlight w:val="none"/>
          <w:lang w:eastAsia="zh-CN"/>
        </w:rPr>
        <w:t>二、收入决算情况说明</w:t>
      </w:r>
      <w:bookmarkEnd w:id="26"/>
      <w:bookmarkEnd w:id="27"/>
    </w:p>
    <w:p w14:paraId="51EDC3A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lang w:val="en-US"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lang w:val="en-US" w:eastAsia="zh-CN"/>
        </w:rPr>
        <w:t>1784.07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92.21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138.94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7.78</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643B11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6"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241935</wp:posOffset>
            </wp:positionH>
            <wp:positionV relativeFrom="paragraph">
              <wp:posOffset>12700</wp:posOffset>
            </wp:positionV>
            <wp:extent cx="4732655" cy="2484755"/>
            <wp:effectExtent l="4445" t="5080" r="6350" b="571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60DEF93F">
      <w:pPr>
        <w:ind w:firstLine="800" w:firstLineChars="250"/>
        <w:rPr>
          <w:rFonts w:hint="eastAsia" w:ascii="Times New Roman" w:hAnsi="Times New Roman" w:eastAsia="仿宋_GB2312" w:cs="仿宋_GB2312"/>
          <w:color w:val="auto"/>
          <w:sz w:val="32"/>
          <w:szCs w:val="32"/>
          <w:highlight w:val="none"/>
          <w:lang w:eastAsia="zh-CN"/>
        </w:rPr>
      </w:pPr>
    </w:p>
    <w:p w14:paraId="59ABF50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8" w:name="_Toc15377207"/>
      <w:bookmarkStart w:id="2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8"/>
      <w:bookmarkEnd w:id="29"/>
    </w:p>
    <w:p w14:paraId="45CE5FEB">
      <w:pPr>
        <w:bidi w:val="0"/>
        <w:ind w:firstLine="640" w:firstLineChars="200"/>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1151.48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64.54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632.58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35.45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04CE3B5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6"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328295</wp:posOffset>
            </wp:positionH>
            <wp:positionV relativeFrom="paragraph">
              <wp:posOffset>210185</wp:posOffset>
            </wp:positionV>
            <wp:extent cx="4732655" cy="2484755"/>
            <wp:effectExtent l="4445" t="5080" r="6350"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6DE7E61F">
      <w:pPr>
        <w:ind w:firstLine="800" w:firstLineChars="250"/>
        <w:rPr>
          <w:rFonts w:hint="eastAsia" w:ascii="Times New Roman" w:hAnsi="Times New Roman" w:eastAsia="仿宋_GB2312" w:cs="仿宋_GB2312"/>
          <w:color w:val="auto"/>
          <w:sz w:val="32"/>
          <w:szCs w:val="32"/>
          <w:highlight w:val="none"/>
          <w:lang w:eastAsia="zh-CN"/>
        </w:rPr>
      </w:pPr>
    </w:p>
    <w:p w14:paraId="15AAAE45">
      <w:pPr>
        <w:spacing w:line="600" w:lineRule="exact"/>
        <w:ind w:firstLine="640" w:firstLineChars="200"/>
        <w:outlineLvl w:val="1"/>
        <w:rPr>
          <w:rStyle w:val="30"/>
          <w:rFonts w:ascii="Times New Roman" w:hAnsi="Times New Roman" w:eastAsia="黑体"/>
          <w:b w:val="0"/>
          <w:color w:val="auto"/>
          <w:highlight w:val="none"/>
        </w:rPr>
      </w:pPr>
      <w:bookmarkStart w:id="30" w:name="_Toc15377208"/>
      <w:bookmarkStart w:id="31"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0"/>
      <w:bookmarkEnd w:id="31"/>
    </w:p>
    <w:p w14:paraId="0D47ED1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ascii="仿宋_GB2312" w:hAnsi="仿宋_GB2312" w:eastAsia="仿宋_GB2312" w:cs="仿宋_GB2312"/>
          <w:sz w:val="32"/>
          <w:szCs w:val="32"/>
          <w:lang w:val="en-US" w:eastAsia="zh-CN"/>
        </w:rPr>
        <w:t>241.42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lang w:val="en-US" w:eastAsia="zh-CN"/>
        </w:rPr>
        <w:t>13.53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农林业支出，农村综合改革等一次性项目减少。</w:t>
      </w:r>
    </w:p>
    <w:p w14:paraId="755CE4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62336" behindDoc="0" locked="0" layoutInCell="1" allowOverlap="1">
            <wp:simplePos x="0" y="0"/>
            <wp:positionH relativeFrom="column">
              <wp:posOffset>985520</wp:posOffset>
            </wp:positionH>
            <wp:positionV relativeFrom="paragraph">
              <wp:posOffset>83820</wp:posOffset>
            </wp:positionV>
            <wp:extent cx="3343275" cy="1674495"/>
            <wp:effectExtent l="4445" t="4445" r="5080" b="1651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73F9A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6E559E">
      <w:pPr>
        <w:spacing w:line="600" w:lineRule="exact"/>
        <w:ind w:firstLine="640" w:firstLineChars="200"/>
        <w:outlineLvl w:val="1"/>
        <w:rPr>
          <w:rStyle w:val="30"/>
          <w:rFonts w:ascii="Times New Roman" w:hAnsi="Times New Roman" w:eastAsia="黑体"/>
          <w:b w:val="0"/>
          <w:color w:val="auto"/>
          <w:highlight w:val="none"/>
        </w:rPr>
      </w:pPr>
      <w:bookmarkStart w:id="32" w:name="_Toc15377209"/>
      <w:bookmarkStart w:id="3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2"/>
      <w:bookmarkEnd w:id="33"/>
    </w:p>
    <w:p w14:paraId="4FAC76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0CA2490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92.21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ascii="仿宋_GB2312" w:hAnsi="仿宋_GB2312" w:eastAsia="仿宋_GB2312" w:cs="仿宋_GB2312"/>
          <w:sz w:val="32"/>
          <w:szCs w:val="32"/>
          <w:lang w:val="en-US" w:eastAsia="zh-CN"/>
        </w:rPr>
        <w:t>380.36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lang w:val="en-US" w:eastAsia="zh-CN"/>
        </w:rPr>
        <w:t>23.12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收紧预算，过紧日子，农林业等支出减少，项目用政府性基金预算拨款支出。</w:t>
      </w:r>
    </w:p>
    <w:p w14:paraId="101DCB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63360" behindDoc="0" locked="0" layoutInCell="1" allowOverlap="1">
            <wp:simplePos x="0" y="0"/>
            <wp:positionH relativeFrom="column">
              <wp:posOffset>785495</wp:posOffset>
            </wp:positionH>
            <wp:positionV relativeFrom="paragraph">
              <wp:posOffset>180975</wp:posOffset>
            </wp:positionV>
            <wp:extent cx="3343275" cy="1674495"/>
            <wp:effectExtent l="4445" t="4445" r="5080" b="1651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C3436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D3A7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36CE8FC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仿宋_GB2312" w:hAnsi="仿宋_GB2312" w:eastAsia="仿宋_GB2312" w:cs="仿宋_GB2312"/>
          <w:sz w:val="32"/>
          <w:szCs w:val="32"/>
          <w:lang w:val="en-US" w:eastAsia="zh-CN"/>
        </w:rPr>
        <w:t>729.99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44.37</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_GB2312" w:hAnsi="仿宋_GB2312" w:eastAsia="仿宋_GB2312" w:cs="仿宋_GB2312"/>
          <w:sz w:val="32"/>
          <w:szCs w:val="32"/>
          <w:lang w:val="en-US" w:eastAsia="zh-CN"/>
        </w:rPr>
        <w:t>146.56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8.91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_GB2312" w:hAnsi="仿宋_GB2312" w:eastAsia="仿宋_GB2312" w:cs="仿宋_GB2312"/>
          <w:sz w:val="32"/>
          <w:szCs w:val="32"/>
          <w:lang w:val="en-US" w:eastAsia="zh-CN"/>
        </w:rPr>
        <w:t>34.63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2.11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_GB2312" w:hAnsi="仿宋_GB2312" w:eastAsia="仿宋_GB2312" w:cs="仿宋_GB2312"/>
          <w:sz w:val="32"/>
          <w:szCs w:val="32"/>
          <w:lang w:val="en-US" w:eastAsia="zh-CN"/>
        </w:rPr>
        <w:t>85.98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5.23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节能环保支出</w:t>
      </w:r>
      <w:r>
        <w:rPr>
          <w:rFonts w:hint="eastAsia" w:ascii="仿宋_GB2312" w:hAnsi="仿宋_GB2312" w:eastAsia="仿宋_GB2312" w:cs="仿宋_GB2312"/>
          <w:sz w:val="32"/>
          <w:szCs w:val="32"/>
          <w:lang w:val="en-US" w:eastAsia="zh-CN"/>
        </w:rPr>
        <w:t>11.25</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0.68</w:t>
      </w:r>
      <w:r>
        <w:rPr>
          <w:rFonts w:hint="eastAsia" w:eastAsia="仿宋_GB2312" w:cs="仿宋_GB2312"/>
          <w:sz w:val="32"/>
          <w:szCs w:val="32"/>
        </w:rPr>
        <w:t>%；农林水支出</w:t>
      </w:r>
      <w:r>
        <w:rPr>
          <w:rFonts w:hint="eastAsia" w:ascii="仿宋_GB2312" w:hAnsi="仿宋_GB2312" w:eastAsia="仿宋_GB2312" w:cs="仿宋_GB2312"/>
          <w:sz w:val="32"/>
          <w:szCs w:val="32"/>
          <w:lang w:val="en-US" w:eastAsia="zh-CN"/>
        </w:rPr>
        <w:t>631.71</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38.4</w:t>
      </w:r>
      <w:r>
        <w:rPr>
          <w:rFonts w:hint="eastAsia" w:eastAsia="仿宋_GB2312" w:cs="仿宋_GB2312"/>
          <w:sz w:val="32"/>
          <w:szCs w:val="32"/>
        </w:rPr>
        <w:t>%</w:t>
      </w:r>
      <w:r>
        <w:rPr>
          <w:rFonts w:hint="eastAsia" w:eastAsia="仿宋_GB2312" w:cs="仿宋_GB2312"/>
          <w:sz w:val="32"/>
          <w:szCs w:val="32"/>
          <w:lang w:eastAsia="zh-CN"/>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5B97A5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176530</wp:posOffset>
            </wp:positionH>
            <wp:positionV relativeFrom="paragraph">
              <wp:posOffset>137160</wp:posOffset>
            </wp:positionV>
            <wp:extent cx="5046980" cy="2844800"/>
            <wp:effectExtent l="4445" t="4445" r="15875" b="825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02C44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6428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5EDEBC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8460"/>
      <w:bookmarkStart w:id="38" w:name="_Toc15377444"/>
      <w:bookmarkStart w:id="3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1645.13</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587F72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一般公共服务（类）政府办公厅（室）及相关机构事务（款）行政运行（项）：支出决算为</w:t>
      </w:r>
      <w:r>
        <w:rPr>
          <w:rFonts w:hint="eastAsia" w:ascii="仿宋_GB2312" w:hAnsi="仿宋_GB2312" w:eastAsia="仿宋_GB2312" w:cs="仿宋_GB2312"/>
          <w:sz w:val="32"/>
          <w:szCs w:val="32"/>
          <w:lang w:val="en-US" w:eastAsia="zh-CN"/>
        </w:rPr>
        <w:t>427.2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00C92C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2.一般公共服务（类）政府办公厅（室）及相关机构事务（款）事业运行（项）：支出决算为</w:t>
      </w:r>
      <w:r>
        <w:rPr>
          <w:rFonts w:hint="eastAsia" w:ascii="仿宋_GB2312" w:hAnsi="仿宋_GB2312" w:eastAsia="仿宋_GB2312" w:cs="仿宋_GB2312"/>
          <w:sz w:val="32"/>
          <w:szCs w:val="32"/>
          <w:lang w:val="en-US" w:eastAsia="zh-CN"/>
        </w:rPr>
        <w:t>230.01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638563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3.一般公共服务（类）政府办公厅（室）及相关机构事务（款）一般行政管理事务（项）：支出决算为</w:t>
      </w:r>
      <w:r>
        <w:rPr>
          <w:rFonts w:hint="eastAsia" w:ascii="仿宋_GB2312" w:hAnsi="仿宋_GB2312" w:eastAsia="仿宋_GB2312" w:cs="仿宋_GB2312"/>
          <w:sz w:val="32"/>
          <w:szCs w:val="32"/>
          <w:lang w:val="en-US" w:eastAsia="zh-CN"/>
        </w:rPr>
        <w:t>66.58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6F44C9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4.一般公共服务（类）政府办公厅（室）及相关机构事务（款）其他政府办公厅（室）及相关机构事务（项）：支出决算为</w:t>
      </w:r>
      <w:r>
        <w:rPr>
          <w:rFonts w:hint="eastAsia" w:ascii="仿宋_GB2312" w:hAnsi="仿宋_GB2312" w:eastAsia="仿宋_GB2312" w:cs="仿宋_GB2312"/>
          <w:sz w:val="32"/>
          <w:szCs w:val="32"/>
          <w:lang w:val="en-US" w:eastAsia="zh-CN"/>
        </w:rPr>
        <w:t>2.04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32E920C0">
      <w:pPr>
        <w:spacing w:line="600" w:lineRule="exact"/>
        <w:ind w:firstLine="640"/>
        <w:rPr>
          <w:rFonts w:hint="eastAsia"/>
        </w:rPr>
      </w:pPr>
      <w:r>
        <w:rPr>
          <w:rFonts w:hint="eastAsia" w:eastAsia="仿宋_GB2312" w:cs="仿宋_GB2312"/>
          <w:sz w:val="32"/>
          <w:szCs w:val="32"/>
        </w:rPr>
        <w:t>5.一般公共服务（类）人大事务（款）</w:t>
      </w:r>
      <w:r>
        <w:rPr>
          <w:rFonts w:hint="eastAsia" w:eastAsia="仿宋_GB2312" w:cs="仿宋_GB2312"/>
          <w:sz w:val="32"/>
          <w:szCs w:val="32"/>
          <w:lang w:val="en-US"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3.5</w:t>
      </w:r>
      <w:r>
        <w:rPr>
          <w:rFonts w:hint="eastAsia" w:eastAsia="仿宋_GB2312" w:cs="仿宋_GB2312"/>
          <w:sz w:val="32"/>
          <w:szCs w:val="32"/>
        </w:rPr>
        <w:t>万元，完成预算100%。</w:t>
      </w:r>
    </w:p>
    <w:p w14:paraId="48043DBD">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.一般公共服务（类）人大事务（款）其他人大事务（项）：支出决算为</w:t>
      </w:r>
      <w:r>
        <w:rPr>
          <w:rFonts w:hint="eastAsia" w:eastAsia="仿宋_GB2312" w:cs="仿宋_GB2312"/>
          <w:sz w:val="32"/>
          <w:szCs w:val="32"/>
          <w:lang w:val="en-US" w:eastAsia="zh-CN"/>
        </w:rPr>
        <w:t>0.66</w:t>
      </w:r>
      <w:r>
        <w:rPr>
          <w:rFonts w:hint="eastAsia" w:eastAsia="仿宋_GB2312" w:cs="仿宋_GB2312"/>
          <w:sz w:val="32"/>
          <w:szCs w:val="32"/>
        </w:rPr>
        <w:t>万元，完成预算100%。</w:t>
      </w:r>
    </w:p>
    <w:p w14:paraId="641037D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.文化旅游体育与传媒（类）</w:t>
      </w:r>
      <w:r>
        <w:rPr>
          <w:rFonts w:hint="eastAsia" w:eastAsia="仿宋_GB2312" w:cs="仿宋_GB2312"/>
          <w:color w:val="auto"/>
          <w:kern w:val="2"/>
          <w:sz w:val="32"/>
          <w:szCs w:val="32"/>
          <w:highlight w:val="none"/>
          <w:lang w:val="en-US" w:eastAsia="zh-CN" w:bidi="ar-SA"/>
        </w:rPr>
        <w:t>文化和旅游</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其他文化和旅游支出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2395252">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（款）机关事业单位基本养老保险缴费支出（项）：支出决算为</w:t>
      </w:r>
      <w:r>
        <w:rPr>
          <w:rFonts w:hint="eastAsia" w:eastAsia="仿宋_GB2312" w:cs="仿宋_GB2312"/>
          <w:sz w:val="32"/>
          <w:szCs w:val="32"/>
          <w:lang w:val="en-US" w:eastAsia="zh-CN"/>
        </w:rPr>
        <w:t>97.71</w:t>
      </w:r>
      <w:r>
        <w:rPr>
          <w:rFonts w:hint="eastAsia" w:eastAsia="仿宋_GB2312" w:cs="仿宋_GB2312"/>
          <w:sz w:val="32"/>
          <w:szCs w:val="32"/>
        </w:rPr>
        <w:t>万元，完成预算100%。</w:t>
      </w:r>
    </w:p>
    <w:p w14:paraId="2A211576">
      <w:pPr>
        <w:spacing w:line="600" w:lineRule="exact"/>
        <w:ind w:firstLine="640"/>
        <w:rPr>
          <w:rFonts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（款）机关事业单位职业年金缴费支出（项）：支出决算为</w:t>
      </w:r>
      <w:r>
        <w:rPr>
          <w:rFonts w:hint="eastAsia" w:eastAsia="仿宋_GB2312" w:cs="仿宋_GB2312"/>
          <w:sz w:val="32"/>
          <w:szCs w:val="32"/>
          <w:lang w:val="en-US" w:eastAsia="zh-CN"/>
        </w:rPr>
        <w:t>48.85</w:t>
      </w:r>
      <w:r>
        <w:rPr>
          <w:rFonts w:hint="eastAsia" w:eastAsia="仿宋_GB2312" w:cs="仿宋_GB2312"/>
          <w:sz w:val="32"/>
          <w:szCs w:val="32"/>
        </w:rPr>
        <w:t>万元，完成预算100%。</w:t>
      </w:r>
    </w:p>
    <w:p w14:paraId="590EF8E2">
      <w:pPr>
        <w:spacing w:line="600" w:lineRule="exact"/>
        <w:ind w:firstLine="640"/>
        <w:rPr>
          <w:rFonts w:hint="eastAsia" w:eastAsia="仿宋_GB2312" w:cs="仿宋_GB2312"/>
          <w:sz w:val="32"/>
          <w:szCs w:val="32"/>
        </w:rPr>
      </w:pPr>
      <w:r>
        <w:rPr>
          <w:rFonts w:hint="eastAsia" w:eastAsia="仿宋_GB2312" w:cs="仿宋_GB2312"/>
          <w:sz w:val="32"/>
          <w:szCs w:val="32"/>
        </w:rPr>
        <w:t>10.卫生健康（类）行政事业单位医疗（款）行政单位医疗（项）：支出决算为</w:t>
      </w:r>
      <w:r>
        <w:rPr>
          <w:rFonts w:hint="eastAsia" w:eastAsia="仿宋_GB2312" w:cs="仿宋_GB2312"/>
          <w:sz w:val="32"/>
          <w:szCs w:val="32"/>
          <w:lang w:val="en-US" w:eastAsia="zh-CN"/>
        </w:rPr>
        <w:t>13.33</w:t>
      </w:r>
      <w:r>
        <w:rPr>
          <w:rFonts w:hint="eastAsia" w:eastAsia="仿宋_GB2312" w:cs="仿宋_GB2312"/>
          <w:sz w:val="32"/>
          <w:szCs w:val="32"/>
        </w:rPr>
        <w:t>万元，完成预算100%。</w:t>
      </w:r>
    </w:p>
    <w:p w14:paraId="7CA622C3">
      <w:pPr>
        <w:spacing w:line="600" w:lineRule="exact"/>
        <w:ind w:firstLine="640"/>
        <w:rPr>
          <w:rFonts w:hint="eastAsia" w:eastAsia="仿宋_GB2312" w:cs="仿宋_GB2312"/>
          <w:sz w:val="32"/>
          <w:szCs w:val="32"/>
        </w:rPr>
      </w:pPr>
      <w:r>
        <w:rPr>
          <w:rFonts w:hint="eastAsia" w:eastAsia="仿宋_GB2312" w:cs="仿宋_GB2312"/>
          <w:sz w:val="32"/>
          <w:szCs w:val="32"/>
        </w:rPr>
        <w:t>11.卫生健康（类）行政事业单位医疗（款）公务员医疗补助（项）：支出决算为</w:t>
      </w:r>
      <w:r>
        <w:rPr>
          <w:rFonts w:hint="eastAsia" w:eastAsia="仿宋_GB2312" w:cs="仿宋_GB2312"/>
          <w:sz w:val="32"/>
          <w:szCs w:val="32"/>
          <w:lang w:val="en-US" w:eastAsia="zh-CN"/>
        </w:rPr>
        <w:t>2.64</w:t>
      </w:r>
      <w:r>
        <w:rPr>
          <w:rFonts w:hint="eastAsia" w:eastAsia="仿宋_GB2312" w:cs="仿宋_GB2312"/>
          <w:sz w:val="32"/>
          <w:szCs w:val="32"/>
        </w:rPr>
        <w:t>万元，完成预算100%。</w:t>
      </w:r>
    </w:p>
    <w:p w14:paraId="0D6A1BE9">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.卫生健康（类）行政事业单位医疗（款）</w:t>
      </w:r>
      <w:r>
        <w:rPr>
          <w:rFonts w:hint="eastAsia" w:eastAsia="仿宋_GB2312" w:cs="仿宋_GB2312"/>
          <w:sz w:val="32"/>
          <w:szCs w:val="32"/>
          <w:lang w:val="en-US" w:eastAsia="zh-CN"/>
        </w:rPr>
        <w:t>事业</w:t>
      </w:r>
      <w:r>
        <w:rPr>
          <w:rFonts w:hint="eastAsia" w:eastAsia="仿宋_GB2312" w:cs="仿宋_GB2312"/>
          <w:sz w:val="32"/>
          <w:szCs w:val="32"/>
        </w:rPr>
        <w:t>单位医疗（项）：支出决算为</w:t>
      </w:r>
      <w:r>
        <w:rPr>
          <w:rFonts w:hint="eastAsia" w:eastAsia="仿宋_GB2312" w:cs="仿宋_GB2312"/>
          <w:sz w:val="32"/>
          <w:szCs w:val="32"/>
          <w:lang w:val="en-US" w:eastAsia="zh-CN"/>
        </w:rPr>
        <w:t>16.03</w:t>
      </w:r>
      <w:r>
        <w:rPr>
          <w:rFonts w:hint="eastAsia" w:eastAsia="仿宋_GB2312" w:cs="仿宋_GB2312"/>
          <w:sz w:val="32"/>
          <w:szCs w:val="32"/>
        </w:rPr>
        <w:t>万元，完成预算100%。</w:t>
      </w:r>
    </w:p>
    <w:p w14:paraId="111DD5B3">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13</w:t>
      </w:r>
      <w:r>
        <w:rPr>
          <w:rFonts w:hint="eastAsia" w:eastAsia="仿宋_GB2312" w:cs="仿宋_GB2312"/>
          <w:sz w:val="32"/>
          <w:szCs w:val="32"/>
        </w:rPr>
        <w:t>.卫生健康（类）行政事业单位医疗（款）</w:t>
      </w:r>
      <w:r>
        <w:rPr>
          <w:rFonts w:hint="eastAsia" w:eastAsia="仿宋_GB2312" w:cs="仿宋_GB2312"/>
          <w:sz w:val="32"/>
          <w:szCs w:val="32"/>
          <w:lang w:val="en-US" w:eastAsia="zh-CN"/>
        </w:rPr>
        <w:t>其他行政事业单位医疗支出</w:t>
      </w:r>
      <w:r>
        <w:rPr>
          <w:rFonts w:hint="eastAsia" w:eastAsia="仿宋_GB2312" w:cs="仿宋_GB2312"/>
          <w:sz w:val="32"/>
          <w:szCs w:val="32"/>
        </w:rPr>
        <w:t>（项）：支出决算为</w:t>
      </w:r>
      <w:r>
        <w:rPr>
          <w:rFonts w:hint="eastAsia" w:eastAsia="仿宋_GB2312" w:cs="仿宋_GB2312"/>
          <w:sz w:val="32"/>
          <w:szCs w:val="32"/>
          <w:lang w:val="en-US" w:eastAsia="zh-CN"/>
        </w:rPr>
        <w:t>2.64</w:t>
      </w:r>
      <w:r>
        <w:rPr>
          <w:rFonts w:hint="eastAsia" w:eastAsia="仿宋_GB2312" w:cs="仿宋_GB2312"/>
          <w:sz w:val="32"/>
          <w:szCs w:val="32"/>
        </w:rPr>
        <w:t>万元，完成预算100%。</w:t>
      </w:r>
    </w:p>
    <w:p w14:paraId="6BD3FCFE">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4</w:t>
      </w:r>
      <w:r>
        <w:rPr>
          <w:rFonts w:hint="eastAsia" w:eastAsia="仿宋_GB2312" w:cs="仿宋_GB2312"/>
          <w:sz w:val="32"/>
          <w:szCs w:val="32"/>
        </w:rPr>
        <w:t>.节能环保支出（类）污染防治（款）水体（项）：支出决算为</w:t>
      </w:r>
      <w:r>
        <w:rPr>
          <w:rFonts w:hint="eastAsia" w:eastAsia="仿宋_GB2312" w:cs="仿宋_GB2312"/>
          <w:sz w:val="32"/>
          <w:szCs w:val="32"/>
          <w:lang w:val="en-US" w:eastAsia="zh-CN"/>
        </w:rPr>
        <w:t>11.25</w:t>
      </w:r>
      <w:r>
        <w:rPr>
          <w:rFonts w:hint="eastAsia" w:eastAsia="仿宋_GB2312" w:cs="仿宋_GB2312"/>
          <w:sz w:val="32"/>
          <w:szCs w:val="32"/>
        </w:rPr>
        <w:t>万元，完成预算100%。</w:t>
      </w:r>
    </w:p>
    <w:p w14:paraId="771414AB">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.农林水（类）农业农村（款）</w:t>
      </w:r>
      <w:r>
        <w:rPr>
          <w:rFonts w:hint="eastAsia" w:eastAsia="仿宋_GB2312" w:cs="仿宋_GB2312"/>
          <w:sz w:val="32"/>
          <w:szCs w:val="32"/>
          <w:lang w:val="en-US" w:eastAsia="zh-CN"/>
        </w:rPr>
        <w:t>事业运行</w:t>
      </w:r>
      <w:r>
        <w:rPr>
          <w:rFonts w:hint="eastAsia" w:eastAsia="仿宋_GB2312" w:cs="仿宋_GB2312"/>
          <w:sz w:val="32"/>
          <w:szCs w:val="32"/>
        </w:rPr>
        <w:t>（项）：支出决算为</w:t>
      </w:r>
      <w:r>
        <w:rPr>
          <w:rFonts w:hint="eastAsia" w:eastAsia="仿宋_GB2312" w:cs="仿宋_GB2312"/>
          <w:sz w:val="32"/>
          <w:szCs w:val="32"/>
          <w:lang w:val="en-US" w:eastAsia="zh-CN"/>
        </w:rPr>
        <w:t>227.09</w:t>
      </w:r>
      <w:r>
        <w:rPr>
          <w:rFonts w:hint="eastAsia" w:eastAsia="仿宋_GB2312" w:cs="仿宋_GB2312"/>
          <w:sz w:val="32"/>
          <w:szCs w:val="32"/>
        </w:rPr>
        <w:t>万元，完成预算100%。</w:t>
      </w:r>
    </w:p>
    <w:p w14:paraId="1D446F70">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6</w:t>
      </w:r>
      <w:r>
        <w:rPr>
          <w:rFonts w:hint="eastAsia" w:eastAsia="仿宋_GB2312" w:cs="仿宋_GB2312"/>
          <w:sz w:val="32"/>
          <w:szCs w:val="32"/>
        </w:rPr>
        <w:t>.农林水（类）农业农村（款）对高校毕业生到基层任职补助（项）：支出决算为</w:t>
      </w:r>
      <w:r>
        <w:rPr>
          <w:rFonts w:hint="eastAsia" w:eastAsia="仿宋_GB2312" w:cs="仿宋_GB2312"/>
          <w:sz w:val="32"/>
          <w:szCs w:val="32"/>
          <w:lang w:val="en-US" w:eastAsia="zh-CN"/>
        </w:rPr>
        <w:t>7.06</w:t>
      </w:r>
      <w:r>
        <w:rPr>
          <w:rFonts w:hint="eastAsia" w:eastAsia="仿宋_GB2312" w:cs="仿宋_GB2312"/>
          <w:sz w:val="32"/>
          <w:szCs w:val="32"/>
        </w:rPr>
        <w:t>万元，完成预算100%。</w:t>
      </w:r>
    </w:p>
    <w:p w14:paraId="2763B5C9">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7</w:t>
      </w:r>
      <w:r>
        <w:rPr>
          <w:rFonts w:hint="eastAsia" w:eastAsia="仿宋_GB2312" w:cs="仿宋_GB2312"/>
          <w:sz w:val="32"/>
          <w:szCs w:val="32"/>
        </w:rPr>
        <w:t>.农林水（类）农业农村（款）其他农业农村支出（项）：支出决算为</w:t>
      </w:r>
      <w:r>
        <w:rPr>
          <w:rFonts w:hint="eastAsia" w:eastAsia="仿宋_GB2312" w:cs="仿宋_GB2312"/>
          <w:sz w:val="32"/>
          <w:szCs w:val="32"/>
          <w:lang w:val="en-US" w:eastAsia="zh-CN"/>
        </w:rPr>
        <w:t>42.68</w:t>
      </w:r>
      <w:r>
        <w:rPr>
          <w:rFonts w:hint="eastAsia" w:eastAsia="仿宋_GB2312" w:cs="仿宋_GB2312"/>
          <w:sz w:val="32"/>
          <w:szCs w:val="32"/>
        </w:rPr>
        <w:t>万元，完成预算100%。</w:t>
      </w:r>
    </w:p>
    <w:p w14:paraId="1D119946">
      <w:pPr>
        <w:spacing w:line="600" w:lineRule="exact"/>
        <w:ind w:firstLine="640"/>
        <w:rPr>
          <w:rFonts w:hint="eastAsia" w:eastAsia="仿宋_GB2312" w:cs="仿宋_GB2312"/>
          <w:sz w:val="32"/>
          <w:szCs w:val="32"/>
        </w:rPr>
      </w:pPr>
      <w:r>
        <w:rPr>
          <w:rFonts w:hint="eastAsia" w:eastAsia="仿宋_GB2312" w:cs="仿宋_GB2312"/>
          <w:sz w:val="32"/>
          <w:szCs w:val="32"/>
        </w:rPr>
        <w:t>18.农林水（类）巩固脱贫攻坚成果衔接乡村振兴（款）其他巩固脱贫攻坚成果衔接乡村振兴（项）：支出决算为</w:t>
      </w:r>
      <w:r>
        <w:rPr>
          <w:rFonts w:hint="eastAsia" w:eastAsia="仿宋_GB2312" w:cs="仿宋_GB2312"/>
          <w:sz w:val="32"/>
          <w:szCs w:val="32"/>
          <w:lang w:val="en-US" w:eastAsia="zh-CN"/>
        </w:rPr>
        <w:t>3.01</w:t>
      </w:r>
      <w:r>
        <w:rPr>
          <w:rFonts w:hint="eastAsia" w:eastAsia="仿宋_GB2312" w:cs="仿宋_GB2312"/>
          <w:sz w:val="32"/>
          <w:szCs w:val="32"/>
        </w:rPr>
        <w:t>万元，完成预算100%。</w:t>
      </w:r>
    </w:p>
    <w:p w14:paraId="3FA1AF1A">
      <w:pPr>
        <w:spacing w:line="600" w:lineRule="exact"/>
        <w:ind w:firstLine="640"/>
        <w:rPr>
          <w:rFonts w:hint="eastAsia" w:eastAsia="仿宋_GB2312" w:cs="仿宋_GB2312"/>
          <w:sz w:val="32"/>
          <w:szCs w:val="32"/>
        </w:rPr>
      </w:pPr>
      <w:r>
        <w:rPr>
          <w:rFonts w:hint="eastAsia" w:eastAsia="仿宋_GB2312" w:cs="仿宋_GB2312"/>
          <w:sz w:val="32"/>
          <w:szCs w:val="32"/>
        </w:rPr>
        <w:t>19.农林水（类）农村综合改革（款）对村级公益事业建设的补助（项）：支出决算为</w:t>
      </w:r>
      <w:r>
        <w:rPr>
          <w:rFonts w:hint="eastAsia" w:eastAsia="仿宋_GB2312" w:cs="仿宋_GB2312"/>
          <w:sz w:val="32"/>
          <w:szCs w:val="32"/>
          <w:lang w:val="en-US" w:eastAsia="zh-CN"/>
        </w:rPr>
        <w:t>10</w:t>
      </w:r>
      <w:r>
        <w:rPr>
          <w:rFonts w:hint="eastAsia" w:eastAsia="仿宋_GB2312" w:cs="仿宋_GB2312"/>
          <w:sz w:val="32"/>
          <w:szCs w:val="32"/>
        </w:rPr>
        <w:t>万元，完成预算100%。</w:t>
      </w:r>
    </w:p>
    <w:p w14:paraId="382BAE57">
      <w:pPr>
        <w:spacing w:line="600" w:lineRule="exact"/>
        <w:ind w:firstLine="640"/>
        <w:rPr>
          <w:rFonts w:hint="eastAsia" w:eastAsia="仿宋_GB2312" w:cs="仿宋_GB2312"/>
          <w:sz w:val="32"/>
          <w:szCs w:val="32"/>
        </w:rPr>
      </w:pPr>
      <w:r>
        <w:rPr>
          <w:rFonts w:hint="eastAsia" w:eastAsia="仿宋_GB2312" w:cs="仿宋_GB2312"/>
          <w:sz w:val="32"/>
          <w:szCs w:val="32"/>
        </w:rPr>
        <w:t>20.农林水（类）农村综合改革（款）对村民委员会和村党支部的补助（项）：支出决算为</w:t>
      </w:r>
      <w:r>
        <w:rPr>
          <w:rFonts w:hint="eastAsia" w:eastAsia="仿宋_GB2312" w:cs="仿宋_GB2312"/>
          <w:sz w:val="32"/>
          <w:szCs w:val="32"/>
          <w:lang w:val="en-US" w:eastAsia="zh-CN"/>
        </w:rPr>
        <w:t>341.87</w:t>
      </w:r>
      <w:r>
        <w:rPr>
          <w:rFonts w:hint="eastAsia" w:eastAsia="仿宋_GB2312" w:cs="仿宋_GB2312"/>
          <w:sz w:val="32"/>
          <w:szCs w:val="32"/>
        </w:rPr>
        <w:t>万元，完成预算100%。</w:t>
      </w:r>
    </w:p>
    <w:p w14:paraId="0E46994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21.住房保障（类）住房改革支出（款）住房公积金（项）：支出决算为</w:t>
      </w:r>
      <w:r>
        <w:rPr>
          <w:rFonts w:hint="eastAsia" w:eastAsia="仿宋_GB2312" w:cs="仿宋_GB2312"/>
          <w:sz w:val="32"/>
          <w:szCs w:val="32"/>
          <w:lang w:val="en-US" w:eastAsia="zh-CN"/>
        </w:rPr>
        <w:t>85.98</w:t>
      </w:r>
      <w:r>
        <w:rPr>
          <w:rFonts w:hint="eastAsia" w:eastAsia="仿宋_GB2312" w:cs="仿宋_GB2312"/>
          <w:sz w:val="32"/>
          <w:szCs w:val="32"/>
        </w:rPr>
        <w:t>万元，完成预算100%。</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0A571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982E9B">
      <w:pPr>
        <w:tabs>
          <w:tab w:val="right" w:pos="8306"/>
        </w:tabs>
        <w:spacing w:line="600" w:lineRule="exact"/>
        <w:ind w:firstLine="640"/>
        <w:outlineLvl w:val="1"/>
        <w:rPr>
          <w:rStyle w:val="30"/>
          <w:rFonts w:ascii="Times New Roman" w:hAnsi="Times New Roman"/>
          <w:color w:val="auto"/>
          <w:highlight w:val="none"/>
        </w:rPr>
      </w:pPr>
      <w:bookmarkStart w:id="40" w:name="_Toc15396608"/>
      <w:bookmarkStart w:id="4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0"/>
      <w:bookmarkEnd w:id="41"/>
      <w:r>
        <w:rPr>
          <w:rStyle w:val="30"/>
          <w:rFonts w:ascii="Times New Roman" w:hAnsi="Times New Roman" w:eastAsia="黑体"/>
          <w:b w:val="0"/>
          <w:color w:val="auto"/>
          <w:highlight w:val="none"/>
        </w:rPr>
        <w:tab/>
      </w:r>
    </w:p>
    <w:p w14:paraId="16575C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1151.48</w:t>
      </w:r>
      <w:r>
        <w:rPr>
          <w:rFonts w:hint="eastAsia" w:ascii="Times New Roman" w:hAnsi="Times New Roman" w:eastAsia="仿宋_GB2312" w:cs="仿宋_GB2312"/>
          <w:color w:val="auto"/>
          <w:kern w:val="2"/>
          <w:sz w:val="32"/>
          <w:szCs w:val="32"/>
          <w:highlight w:val="none"/>
          <w:lang w:val="en-US" w:eastAsia="zh-CN" w:bidi="ar-SA"/>
        </w:rPr>
        <w:t>万元，其中：</w:t>
      </w:r>
    </w:p>
    <w:p w14:paraId="0ADDE6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1057.89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93.59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0508F4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33899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7FCFC9">
      <w:pPr>
        <w:spacing w:line="600" w:lineRule="exact"/>
        <w:ind w:firstLine="640"/>
        <w:outlineLvl w:val="1"/>
        <w:rPr>
          <w:rStyle w:val="30"/>
          <w:rFonts w:ascii="Times New Roman" w:hAnsi="Times New Roman" w:eastAsia="黑体"/>
          <w:b w:val="0"/>
          <w:color w:val="auto"/>
          <w:highlight w:val="none"/>
        </w:rPr>
      </w:pPr>
      <w:bookmarkStart w:id="42" w:name="_Toc15377215"/>
      <w:bookmarkStart w:id="43"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p>
    <w:p w14:paraId="13A6FA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4"/>
    </w:p>
    <w:p w14:paraId="7E5E4DC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3.31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0.91</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29BB42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5"/>
    </w:p>
    <w:p w14:paraId="22288D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82.78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17.22</w:t>
      </w:r>
      <w:r>
        <w:rPr>
          <w:rFonts w:hint="eastAsia" w:ascii="Times New Roman" w:hAnsi="Times New Roman" w:eastAsia="仿宋_GB2312" w:cs="仿宋_GB2312"/>
          <w:color w:val="auto"/>
          <w:kern w:val="2"/>
          <w:sz w:val="32"/>
          <w:szCs w:val="32"/>
          <w:highlight w:val="none"/>
          <w:lang w:val="en-US" w:eastAsia="zh-CN" w:bidi="ar-SA"/>
        </w:rPr>
        <w:t>%。具体情况如下：</w:t>
      </w:r>
    </w:p>
    <w:p w14:paraId="62031A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318770</wp:posOffset>
            </wp:positionH>
            <wp:positionV relativeFrom="paragraph">
              <wp:posOffset>214630</wp:posOffset>
            </wp:positionV>
            <wp:extent cx="4732655" cy="2484755"/>
            <wp:effectExtent l="4445" t="5080" r="6350" b="571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29DD6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420D0E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2.74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sz w:val="32"/>
          <w:szCs w:val="32"/>
        </w:rPr>
        <w:t>政府加强公务用车管理，运行维护费用减少</w:t>
      </w:r>
      <w:r>
        <w:rPr>
          <w:rFonts w:hint="eastAsia" w:ascii="仿宋_GB2312" w:eastAsia="仿宋_GB2312"/>
          <w:sz w:val="32"/>
          <w:szCs w:val="32"/>
          <w:lang w:eastAsia="zh-CN"/>
        </w:rPr>
        <w:t>。</w:t>
      </w:r>
    </w:p>
    <w:p w14:paraId="555566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sz w:val="32"/>
          <w:szCs w:val="32"/>
        </w:rPr>
        <w:t>轿车1辆、</w:t>
      </w:r>
      <w:r>
        <w:rPr>
          <w:rFonts w:hint="eastAsia" w:ascii="仿宋_GB2312" w:eastAsia="仿宋_GB2312"/>
          <w:sz w:val="32"/>
          <w:szCs w:val="32"/>
        </w:rPr>
        <w:t>载货汽车（农业技术推广）1辆</w:t>
      </w:r>
      <w:r>
        <w:rPr>
          <w:rFonts w:hint="eastAsia" w:ascii="Times New Roman" w:hAnsi="Times New Roman" w:eastAsia="仿宋_GB2312" w:cs="仿宋_GB2312"/>
          <w:color w:val="auto"/>
          <w:kern w:val="2"/>
          <w:sz w:val="32"/>
          <w:szCs w:val="32"/>
          <w:highlight w:val="none"/>
          <w:lang w:val="en-US" w:eastAsia="zh-CN" w:bidi="ar-SA"/>
        </w:rPr>
        <w:t>。</w:t>
      </w:r>
    </w:p>
    <w:p w14:paraId="023171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rPr>
        <w:t>维稳处突、应急</w:t>
      </w:r>
      <w:r>
        <w:rPr>
          <w:rFonts w:hint="eastAsia" w:ascii="仿宋_GB2312" w:eastAsia="仿宋_GB2312"/>
          <w:sz w:val="32"/>
          <w:szCs w:val="32"/>
          <w:lang w:eastAsia="zh-CN"/>
        </w:rPr>
        <w:t>、</w:t>
      </w:r>
      <w:r>
        <w:rPr>
          <w:rFonts w:hint="eastAsia" w:ascii="仿宋_GB2312" w:eastAsia="仿宋_GB2312"/>
          <w:sz w:val="32"/>
          <w:szCs w:val="32"/>
          <w:lang w:val="en-US" w:eastAsia="zh-CN"/>
        </w:rPr>
        <w:t>秸秆焚烧巡察</w:t>
      </w:r>
      <w:r>
        <w:rPr>
          <w:rFonts w:hint="eastAsia" w:ascii="仿宋_GB2312" w:eastAsia="仿宋_GB2312"/>
          <w:sz w:val="32"/>
          <w:szCs w:val="32"/>
        </w:rPr>
        <w:t>等</w:t>
      </w:r>
      <w:r>
        <w:rPr>
          <w:rFonts w:hint="eastAsia" w:eastAsia="仿宋_GB2312" w:cs="仿宋_GB2312"/>
          <w:sz w:val="32"/>
          <w:szCs w:val="32"/>
        </w:rPr>
        <w:t>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14:paraId="163ED7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0.57</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纪检巡查等上级调研督导工作相对去年增加</w:t>
      </w:r>
      <w:r>
        <w:rPr>
          <w:rFonts w:hint="eastAsia" w:ascii="Times New Roman" w:hAnsi="Times New Roman" w:eastAsia="仿宋_GB2312" w:cs="仿宋_GB2312"/>
          <w:color w:val="auto"/>
          <w:kern w:val="2"/>
          <w:sz w:val="32"/>
          <w:szCs w:val="32"/>
          <w:highlight w:val="none"/>
          <w:lang w:val="en-US" w:eastAsia="zh-CN" w:bidi="ar-SA"/>
        </w:rPr>
        <w:t>。其中：</w:t>
      </w:r>
    </w:p>
    <w:p w14:paraId="27B9A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0.57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rPr>
        <w:t>执行公务、开展业务活动开支用餐费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40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0.57</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3月份接待重庆黎香湖政府考察费用0.22万元，接待黄丹镇工作人员调研费用0.15万元</w:t>
      </w:r>
      <w:r>
        <w:rPr>
          <w:rFonts w:hint="eastAsia" w:ascii="Times New Roman" w:hAnsi="Times New Roman" w:eastAsia="仿宋_GB2312" w:cs="仿宋_GB2312"/>
          <w:color w:val="auto"/>
          <w:kern w:val="2"/>
          <w:sz w:val="32"/>
          <w:szCs w:val="32"/>
          <w:highlight w:val="none"/>
          <w:lang w:val="en-US" w:eastAsia="zh-CN" w:bidi="ar-SA"/>
        </w:rPr>
        <w:t>。</w:t>
      </w:r>
    </w:p>
    <w:p w14:paraId="052364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E56ED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77218"/>
      <w:bookmarkStart w:id="47" w:name="_Toc15396610"/>
    </w:p>
    <w:p w14:paraId="626B7FE4">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6"/>
      <w:bookmarkEnd w:id="47"/>
    </w:p>
    <w:p w14:paraId="237770D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138.94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7.78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138.94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地方性债务系统上的项目支出运用了政府性基金预算财政拨款。</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49679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B8947F">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8" w:name="_Toc15396611"/>
      <w:bookmarkStart w:id="49"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8"/>
      <w:bookmarkEnd w:id="49"/>
    </w:p>
    <w:p w14:paraId="1BC98F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341BB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176D87">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0" w:name="_Toc15377221"/>
      <w:bookmarkStart w:id="51"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0"/>
      <w:bookmarkEnd w:id="51"/>
    </w:p>
    <w:p w14:paraId="74FF2F7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2"/>
      <w:r>
        <w:rPr>
          <w:rFonts w:hint="eastAsia" w:ascii="Times New Roman" w:hAnsi="Times New Roman" w:eastAsia="楷体_GB2312" w:cs="楷体_GB2312"/>
          <w:b/>
          <w:color w:val="auto"/>
          <w:sz w:val="32"/>
          <w:szCs w:val="32"/>
          <w:highlight w:val="none"/>
        </w:rPr>
        <w:t>（一）机关运行经费支出情况</w:t>
      </w:r>
      <w:bookmarkEnd w:id="52"/>
    </w:p>
    <w:p w14:paraId="21402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93.59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28.27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人员成本增加，运行经费支出增多。</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E5DD7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2409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23"/>
      <w:r>
        <w:rPr>
          <w:rFonts w:hint="eastAsia" w:ascii="Times New Roman" w:hAnsi="Times New Roman" w:eastAsia="楷体_GB2312" w:cs="楷体_GB2312"/>
          <w:b/>
          <w:color w:val="auto"/>
          <w:sz w:val="32"/>
          <w:szCs w:val="32"/>
          <w:highlight w:val="none"/>
        </w:rPr>
        <w:t>（二）政府采购支出情况</w:t>
      </w:r>
      <w:bookmarkEnd w:id="53"/>
    </w:p>
    <w:p w14:paraId="7C10D2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3.38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0.64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纪委购买一台笔记本电脑和机关公务用车运行维护与加油等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ABB5E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4FC6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24"/>
      <w:r>
        <w:rPr>
          <w:rFonts w:hint="eastAsia" w:ascii="Times New Roman" w:hAnsi="Times New Roman" w:eastAsia="楷体_GB2312" w:cs="楷体_GB2312"/>
          <w:b/>
          <w:color w:val="auto"/>
          <w:sz w:val="32"/>
          <w:szCs w:val="32"/>
          <w:highlight w:val="none"/>
        </w:rPr>
        <w:t>（三）国有资产占有使用情况</w:t>
      </w:r>
      <w:bookmarkEnd w:id="54"/>
    </w:p>
    <w:p w14:paraId="1369E1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04AC5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C00A2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8D53F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仿宋_GB2312" w:eastAsia="仿宋_GB2312" w:cs="仿宋_GB2312"/>
          <w:sz w:val="32"/>
          <w:szCs w:val="32"/>
        </w:rPr>
        <w:t>村组干部报酬项目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个项目涉及金额开展了事前绩效评估，对</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3C881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宋体" w:eastAsia="仿宋_GB2312" w:cs="宋体"/>
          <w:color w:val="000000"/>
          <w:kern w:val="0"/>
          <w:sz w:val="32"/>
          <w:szCs w:val="32"/>
          <w:shd w:val="clear" w:color="auto" w:fill="FFFFFF"/>
          <w:lang w:val="zh-CN"/>
        </w:rPr>
        <w:t>镇政府严格按照年初预算执行，项目按规定实施，遵守财经纪律，厉行节约，严格控制“三公经费”支出，廉洁行政，认真搞好预、决算，及时进行财务核算，完成了各项任务</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5F7ECA36">
      <w:pPr>
        <w:pStyle w:val="2"/>
        <w:rPr>
          <w:rFonts w:hint="eastAsia"/>
          <w:lang w:val="en-US" w:eastAsia="zh-CN"/>
        </w:rPr>
      </w:pPr>
    </w:p>
    <w:p w14:paraId="02C7336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5" w:name="_Toc15377225"/>
      <w:bookmarkStart w:id="56"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5"/>
      <w:bookmarkEnd w:id="56"/>
    </w:p>
    <w:p w14:paraId="1F21119B">
      <w:pPr>
        <w:spacing w:line="600" w:lineRule="exact"/>
        <w:jc w:val="left"/>
        <w:rPr>
          <w:rFonts w:ascii="Times New Roman" w:hAnsi="Times New Roman"/>
          <w:b/>
          <w:color w:val="auto"/>
          <w:sz w:val="44"/>
          <w:szCs w:val="44"/>
          <w:highlight w:val="none"/>
        </w:rPr>
      </w:pPr>
    </w:p>
    <w:p w14:paraId="72138D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055DC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74393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5C59BB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7CCE9A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5C5C3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2B58B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B5477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98DA62A">
      <w:pPr>
        <w:ind w:firstLine="640" w:firstLineChars="200"/>
        <w:rPr>
          <w:rFonts w:hint="eastAsia" w:ascii="仿宋_GB2312" w:hAnsi="仿宋" w:eastAsia="仿宋_GB2312"/>
          <w:bCs/>
          <w:sz w:val="32"/>
          <w:szCs w:val="32"/>
        </w:rPr>
      </w:pPr>
      <w:r>
        <w:rPr>
          <w:rFonts w:ascii="仿宋_GB2312" w:eastAsia="仿宋_GB2312"/>
          <w:sz w:val="32"/>
          <w:szCs w:val="32"/>
        </w:rPr>
        <w:t>9.</w:t>
      </w:r>
      <w:r>
        <w:rPr>
          <w:rStyle w:val="19"/>
          <w:rFonts w:hint="eastAsia" w:ascii="仿宋_GB2312" w:hAnsi="仿宋" w:eastAsia="仿宋_GB2312"/>
          <w:b w:val="0"/>
          <w:bCs/>
          <w:color w:val="000000"/>
          <w:sz w:val="32"/>
          <w:szCs w:val="32"/>
        </w:rPr>
        <w:t>一般公共服务（类）政府办公厅（室）及相关机构事务（款）行政运行（项）:</w:t>
      </w:r>
      <w:r>
        <w:rPr>
          <w:rFonts w:hint="eastAsia" w:ascii="仿宋_GB2312" w:eastAsia="仿宋_GB2312"/>
          <w:color w:val="000000"/>
          <w:sz w:val="32"/>
          <w:szCs w:val="32"/>
        </w:rPr>
        <w:t xml:space="preserve"> 指反映行政单位（包括实行公务员管理的事业单位）的基本支出。</w:t>
      </w:r>
    </w:p>
    <w:p w14:paraId="376F7E98">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 xml:space="preserve">10. 一般公共服务（类）政府办公厅（室）及相关机构事务（款）一般行政管理事务（项）: </w:t>
      </w:r>
      <w:r>
        <w:rPr>
          <w:rFonts w:hint="eastAsia" w:ascii="仿宋_GB2312" w:eastAsia="仿宋_GB2312"/>
          <w:color w:val="000000"/>
          <w:sz w:val="32"/>
          <w:szCs w:val="32"/>
        </w:rPr>
        <w:t>指反映行政单位（包括实行公务员管理的事业单位）未单独设置项级科目的其他项目支出。</w:t>
      </w:r>
    </w:p>
    <w:p w14:paraId="72543116">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11.一般公共服务（类）政府办公厅（室）及相关机构事务（款）事业运行（项）:</w:t>
      </w:r>
      <w:r>
        <w:rPr>
          <w:rFonts w:hint="eastAsia" w:ascii="仿宋_GB2312" w:eastAsia="仿宋_GB2312"/>
          <w:color w:val="000000"/>
          <w:sz w:val="32"/>
          <w:szCs w:val="32"/>
        </w:rPr>
        <w:t>指反映事业单位的基本支出，不包括行政单位（包括实行公务员管理的事业单位）后勤中心、医务室等附属事业单位。</w:t>
      </w:r>
    </w:p>
    <w:p w14:paraId="3875C05B">
      <w:pPr>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12.社会保障和就业（类）行政事业单位养老支出（款）机关事业单位基本养老保险缴费（项）:</w:t>
      </w:r>
      <w:r>
        <w:rPr>
          <w:rFonts w:hint="eastAsia" w:ascii="仿宋_GB2312" w:eastAsia="仿宋_GB2312"/>
          <w:color w:val="000000"/>
          <w:sz w:val="32"/>
          <w:szCs w:val="32"/>
        </w:rPr>
        <w:t>指反映机关单位实施养老保险制度由单位缴纳的基本养老保险费支出。</w:t>
      </w:r>
    </w:p>
    <w:p w14:paraId="7A3FD4FB">
      <w:pPr>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13.社会保障和就业（类）行政事业单位养老支出（款）机关事业单位职业年金缴费支出（项）:</w:t>
      </w:r>
      <w:r>
        <w:rPr>
          <w:rFonts w:hint="eastAsia" w:ascii="仿宋_GB2312" w:eastAsia="仿宋_GB2312"/>
          <w:color w:val="000000"/>
          <w:sz w:val="32"/>
          <w:szCs w:val="32"/>
        </w:rPr>
        <w:t>指反映机关单位实施养老保险制度由单位实际缴纳的职业年金支出。</w:t>
      </w:r>
    </w:p>
    <w:p w14:paraId="75566405">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sz w:val="32"/>
          <w:szCs w:val="32"/>
        </w:rPr>
        <w:t>14.社会保障和就业（类）就业补助（款）公益性岗位（项）：</w:t>
      </w:r>
      <w:r>
        <w:rPr>
          <w:rFonts w:hint="eastAsia" w:ascii="仿宋_GB2312" w:eastAsia="仿宋_GB2312"/>
          <w:color w:val="000000"/>
          <w:sz w:val="32"/>
          <w:szCs w:val="32"/>
        </w:rPr>
        <w:t>指反映财政对符合条件的就业困难人员在公益性岗位就业给予的岗位补贴支出。</w:t>
      </w:r>
    </w:p>
    <w:p w14:paraId="30203BA1">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15.社会保障和就业（类）就业补助（款）其他就业补助支出（项）：</w:t>
      </w:r>
      <w:r>
        <w:rPr>
          <w:rFonts w:hint="eastAsia" w:ascii="仿宋_GB2312" w:eastAsia="仿宋_GB2312"/>
          <w:sz w:val="32"/>
          <w:szCs w:val="32"/>
        </w:rPr>
        <w:t>指反映除上述项目以外按规定确定的其他用于促进就业的补助支出。</w:t>
      </w:r>
    </w:p>
    <w:p w14:paraId="34FD7B90">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16.社会保障和就业（类）就业补助（款）其他就业补助支出（项）：</w:t>
      </w:r>
      <w:r>
        <w:rPr>
          <w:rFonts w:hint="eastAsia" w:ascii="仿宋_GB2312" w:eastAsia="仿宋_GB2312"/>
          <w:sz w:val="32"/>
          <w:szCs w:val="32"/>
        </w:rPr>
        <w:t>指反映除上述项目以外按规定确定的其他用于促进就业的补助支出。</w:t>
      </w:r>
    </w:p>
    <w:p w14:paraId="4CE49DD7">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17.社会保障和就业（类）临时救助（款）临时救助支出（项）：</w:t>
      </w:r>
      <w:r>
        <w:rPr>
          <w:rFonts w:hint="eastAsia" w:ascii="仿宋_GB2312" w:eastAsia="仿宋_GB2312"/>
          <w:sz w:val="32"/>
          <w:szCs w:val="32"/>
        </w:rPr>
        <w:t>指反映用于城乡困难居民的临时救助支出。</w:t>
      </w:r>
    </w:p>
    <w:p w14:paraId="26EEB92A">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18.</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（类）行政事业单位医疗（款）行政单位医疗（项）:</w:t>
      </w:r>
      <w:r>
        <w:rPr>
          <w:rFonts w:hint="eastAsia" w:ascii="仿宋_GB2312" w:eastAsia="仿宋_GB2312"/>
          <w:sz w:val="32"/>
          <w:szCs w:val="32"/>
        </w:rPr>
        <w:t>指反映财政部门安排的行政单位基本医疗保险缴费经费。</w:t>
      </w:r>
    </w:p>
    <w:p w14:paraId="05FCCF7C">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19.</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（类）行政事业单位医疗（款）事业单位医疗（项）:</w:t>
      </w:r>
      <w:r>
        <w:rPr>
          <w:rFonts w:hint="eastAsia" w:ascii="仿宋_GB2312" w:eastAsia="仿宋_GB2312"/>
          <w:sz w:val="32"/>
          <w:szCs w:val="32"/>
        </w:rPr>
        <w:t>指反映财政部门安排的事业单位基本医疗保险缴费经费。</w:t>
      </w:r>
    </w:p>
    <w:p w14:paraId="7FB7250D">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20.</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（类）行政事业单位医疗（款）公务员医疗补助（项）:</w:t>
      </w:r>
      <w:r>
        <w:rPr>
          <w:rFonts w:hint="eastAsia" w:ascii="仿宋_GB2312" w:eastAsia="仿宋_GB2312"/>
          <w:sz w:val="32"/>
          <w:szCs w:val="32"/>
        </w:rPr>
        <w:t>指反映财政部门安排的公务员医疗补助经费。</w:t>
      </w:r>
    </w:p>
    <w:p w14:paraId="339567B2">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21.</w:t>
      </w:r>
      <w:r>
        <w:rPr>
          <w:rFonts w:hint="eastAsia" w:ascii="仿宋_GB2312" w:hAnsi="仿宋" w:eastAsia="仿宋_GB2312"/>
          <w:bCs/>
          <w:sz w:val="32"/>
          <w:szCs w:val="32"/>
        </w:rPr>
        <w:t>节能环保</w:t>
      </w:r>
      <w:r>
        <w:rPr>
          <w:rStyle w:val="19"/>
          <w:rFonts w:hint="eastAsia" w:ascii="仿宋_GB2312" w:hAnsi="仿宋" w:eastAsia="仿宋_GB2312"/>
          <w:b w:val="0"/>
          <w:bCs/>
          <w:sz w:val="32"/>
          <w:szCs w:val="32"/>
        </w:rPr>
        <w:t>（类）污染防治（款）水体（项）:</w:t>
      </w:r>
      <w:r>
        <w:rPr>
          <w:rFonts w:hint="eastAsia" w:ascii="仿宋_GB2312" w:eastAsia="仿宋_GB2312"/>
          <w:sz w:val="32"/>
          <w:szCs w:val="32"/>
        </w:rPr>
        <w:t xml:space="preserve"> 指放映政府在排水、污水处理、水污染防治、湖库生态环境保护、水资源保护、国土江河综合整治、河流治理与保护、地下水修复与保护等方面的支出。</w:t>
      </w:r>
    </w:p>
    <w:p w14:paraId="534E8761">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22.</w:t>
      </w:r>
      <w:r>
        <w:rPr>
          <w:rFonts w:hint="eastAsia" w:ascii="仿宋_GB2312" w:hAnsi="仿宋" w:eastAsia="仿宋_GB2312"/>
          <w:bCs/>
          <w:sz w:val="32"/>
          <w:szCs w:val="32"/>
        </w:rPr>
        <w:t>城乡社区</w:t>
      </w:r>
      <w:r>
        <w:rPr>
          <w:rStyle w:val="19"/>
          <w:rFonts w:hint="eastAsia" w:ascii="仿宋_GB2312" w:hAnsi="仿宋" w:eastAsia="仿宋_GB2312"/>
          <w:b w:val="0"/>
          <w:bCs/>
          <w:sz w:val="32"/>
          <w:szCs w:val="32"/>
        </w:rPr>
        <w:t>（类）城乡环境卫生（款）城乡环境卫生（项）:</w:t>
      </w:r>
      <w:r>
        <w:rPr>
          <w:rFonts w:hint="eastAsia" w:ascii="仿宋_GB2312" w:eastAsia="仿宋_GB2312"/>
          <w:sz w:val="32"/>
          <w:szCs w:val="32"/>
        </w:rPr>
        <w:t>指反映城乡社区道路清扫、垃圾清运与处理、公厕建设与维护、园林绿化等方面的支出。</w:t>
      </w:r>
    </w:p>
    <w:p w14:paraId="0E463B5D">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23.</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（类）农业农村（款）事业运行（项）:</w:t>
      </w:r>
      <w:r>
        <w:rPr>
          <w:rFonts w:hint="eastAsia" w:ascii="仿宋_GB2312" w:eastAsia="仿宋_GB2312"/>
          <w:sz w:val="32"/>
          <w:szCs w:val="32"/>
        </w:rPr>
        <w:t xml:space="preserve"> 指反映用于农业事业单位基本支出，事业单位设施、系统运行与资产维护等方面的支出。</w:t>
      </w:r>
    </w:p>
    <w:p w14:paraId="17DB6657">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24.</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（类）农业农村（款）对高校毕业生到基层任职补助（项）:指反映按规定对高校毕业生到基层任职的补助支出。</w:t>
      </w:r>
    </w:p>
    <w:p w14:paraId="2395C151">
      <w:pPr>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25</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（类）农业农村（款）其他农业农村支出（项）:指反映除上述项目以外用于农业农村方面的支出。</w:t>
      </w:r>
    </w:p>
    <w:p w14:paraId="12425335">
      <w:pPr>
        <w:spacing w:line="600" w:lineRule="exact"/>
        <w:ind w:firstLine="640" w:firstLineChars="200"/>
        <w:rPr>
          <w:rFonts w:hint="eastAsia" w:ascii="仿宋_GB2312" w:hAnsi="仿宋" w:eastAsia="仿宋_GB2312"/>
          <w:bCs/>
          <w:sz w:val="32"/>
          <w:szCs w:val="32"/>
        </w:rPr>
      </w:pPr>
      <w:r>
        <w:rPr>
          <w:rFonts w:hint="eastAsia" w:ascii="仿宋_GB2312" w:eastAsia="仿宋_GB2312"/>
          <w:sz w:val="32"/>
          <w:szCs w:val="32"/>
        </w:rPr>
        <w:t>26</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（类）水利（款）水质监测（项）:指反映</w:t>
      </w:r>
      <w:r>
        <w:rPr>
          <w:rFonts w:hint="eastAsia" w:ascii="仿宋_GB2312" w:eastAsia="仿宋_GB2312"/>
          <w:sz w:val="32"/>
          <w:szCs w:val="32"/>
        </w:rPr>
        <w:t>水利系统纳入预算管理的水质监测事业单位的支出</w:t>
      </w:r>
      <w:r>
        <w:rPr>
          <w:rStyle w:val="19"/>
          <w:rFonts w:hint="eastAsia" w:ascii="仿宋_GB2312" w:hAnsi="仿宋" w:eastAsia="仿宋_GB2312"/>
          <w:b w:val="0"/>
          <w:bCs/>
          <w:sz w:val="32"/>
          <w:szCs w:val="32"/>
        </w:rPr>
        <w:t>。有关事项包括水质监测仪器设备运行维护，水环境监测技术的研究、开发与推广，进行水样品采集、保存、运输、测试、化验、分析、资料整编、发布水质公报等。</w:t>
      </w:r>
    </w:p>
    <w:p w14:paraId="70716947">
      <w:pPr>
        <w:ind w:firstLine="640" w:firstLineChars="200"/>
        <w:rPr>
          <w:rFonts w:ascii="仿宋_GB2312" w:eastAsia="仿宋_GB2312"/>
          <w:sz w:val="32"/>
          <w:szCs w:val="32"/>
        </w:rPr>
      </w:pPr>
      <w:r>
        <w:rPr>
          <w:rFonts w:hint="eastAsia" w:ascii="仿宋_GB2312" w:eastAsia="仿宋_GB2312"/>
          <w:sz w:val="32"/>
          <w:szCs w:val="32"/>
        </w:rPr>
        <w:t>27</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（类）水利（款）农村人畜饮水（项）:指反映</w:t>
      </w:r>
      <w:r>
        <w:rPr>
          <w:rFonts w:hint="eastAsia" w:ascii="仿宋_GB2312" w:eastAsia="仿宋_GB2312"/>
          <w:sz w:val="32"/>
          <w:szCs w:val="32"/>
        </w:rPr>
        <w:t>用于农村人畜饮水工程建设方面的支出</w:t>
      </w:r>
      <w:r>
        <w:rPr>
          <w:rStyle w:val="19"/>
          <w:rFonts w:hint="eastAsia" w:ascii="仿宋_GB2312" w:hAnsi="仿宋" w:eastAsia="仿宋_GB2312"/>
          <w:b w:val="0"/>
          <w:bCs/>
          <w:sz w:val="32"/>
          <w:szCs w:val="32"/>
        </w:rPr>
        <w:t>。</w:t>
      </w:r>
    </w:p>
    <w:p w14:paraId="153852C6">
      <w:pPr>
        <w:spacing w:line="600" w:lineRule="exact"/>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28</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（类）农村综合改革（款）对村级公益事业建设的补助（项）:指反映农村税费改革后对村级公益事业建设的补助支出。</w:t>
      </w:r>
    </w:p>
    <w:p w14:paraId="1C1492B7">
      <w:pPr>
        <w:ind w:firstLine="640" w:firstLineChars="200"/>
        <w:rPr>
          <w:rFonts w:hint="eastAsia" w:ascii="仿宋_GB2312" w:eastAsia="仿宋_GB2312"/>
          <w:sz w:val="32"/>
          <w:szCs w:val="32"/>
        </w:rPr>
      </w:pPr>
      <w:r>
        <w:rPr>
          <w:rFonts w:hint="eastAsia" w:ascii="仿宋_GB2312" w:eastAsia="仿宋_GB2312"/>
          <w:sz w:val="32"/>
          <w:szCs w:val="32"/>
        </w:rPr>
        <w:t>29</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（类）农村综合改革（款）对村民委员会和村党支部的补助（项）:</w:t>
      </w:r>
      <w:r>
        <w:rPr>
          <w:rFonts w:hint="eastAsia" w:ascii="仿宋_GB2312" w:eastAsia="仿宋_GB2312"/>
          <w:sz w:val="32"/>
          <w:szCs w:val="32"/>
        </w:rPr>
        <w:t xml:space="preserve"> 指反映各级财政对村民委员会和村党支部的补助支出，以及支持建立县级基本财力保障机制安排的村级组织运转奖补资金。</w:t>
      </w:r>
    </w:p>
    <w:p w14:paraId="73EC9893">
      <w:pPr>
        <w:spacing w:line="600" w:lineRule="exact"/>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30</w:t>
      </w:r>
      <w:r>
        <w:rPr>
          <w:rFonts w:ascii="仿宋_GB2312" w:eastAsia="仿宋_GB2312"/>
          <w:sz w:val="32"/>
          <w:szCs w:val="32"/>
        </w:rPr>
        <w:t>.</w:t>
      </w:r>
      <w:r>
        <w:rPr>
          <w:rFonts w:hint="eastAsia" w:ascii="仿宋_GB2312" w:hAnsi="仿宋" w:eastAsia="仿宋_GB2312"/>
          <w:bCs/>
          <w:sz w:val="32"/>
          <w:szCs w:val="32"/>
        </w:rPr>
        <w:t>住房保障</w:t>
      </w:r>
      <w:r>
        <w:rPr>
          <w:rStyle w:val="19"/>
          <w:rFonts w:hint="eastAsia" w:ascii="仿宋_GB2312" w:hAnsi="仿宋" w:eastAsia="仿宋_GB2312"/>
          <w:b w:val="0"/>
          <w:bCs/>
          <w:sz w:val="32"/>
          <w:szCs w:val="32"/>
        </w:rPr>
        <w:t>（类）住房改革（款）住房公积金（项）:</w:t>
      </w:r>
      <w:r>
        <w:rPr>
          <w:rFonts w:hint="eastAsia" w:ascii="仿宋_GB2312" w:eastAsia="仿宋_GB2312"/>
          <w:sz w:val="32"/>
          <w:szCs w:val="32"/>
        </w:rPr>
        <w:t xml:space="preserve"> 指反映行政事业单位按人力资源和社会保障部、财政部规定的基本工资和津贴补贴以及规定比例为职工缴纳的住房公积金。</w:t>
      </w:r>
    </w:p>
    <w:p w14:paraId="40A062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0E87D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1AADD9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7F510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041921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934D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C31626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F5D1B95">
      <w:pPr>
        <w:spacing w:line="600" w:lineRule="exact"/>
        <w:jc w:val="center"/>
        <w:rPr>
          <w:rStyle w:val="29"/>
          <w:rFonts w:hint="eastAsia" w:ascii="Times New Roman" w:hAnsi="Times New Roman" w:eastAsia="黑体"/>
          <w:b w:val="0"/>
          <w:color w:val="auto"/>
          <w:highlight w:val="none"/>
          <w:lang w:eastAsia="zh-CN"/>
        </w:rPr>
      </w:pPr>
      <w:bookmarkStart w:id="5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8"/>
    </w:p>
    <w:p w14:paraId="7093144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53A5DB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8D873C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19D5B67">
      <w:pPr>
        <w:widowControl/>
        <w:spacing w:line="580" w:lineRule="exact"/>
        <w:contextualSpacing/>
        <w:jc w:val="center"/>
        <w:rPr>
          <w:rFonts w:hint="eastAsia"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井研县千佛镇人民政府</w:t>
      </w:r>
    </w:p>
    <w:p w14:paraId="431B95F4">
      <w:pPr>
        <w:widowControl/>
        <w:spacing w:line="580" w:lineRule="exact"/>
        <w:contextualSpacing/>
        <w:jc w:val="center"/>
        <w:rPr>
          <w:rFonts w:hint="eastAsia"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202</w:t>
      </w:r>
      <w:r>
        <w:rPr>
          <w:rFonts w:hint="eastAsia" w:ascii="方正小标宋简体" w:hAnsi="方正小标宋简体" w:eastAsia="方正小标宋简体" w:cs="方正小标宋简体"/>
          <w:bCs/>
          <w:sz w:val="44"/>
          <w:szCs w:val="44"/>
          <w:shd w:val="clear" w:color="auto" w:fill="FFFFFF"/>
          <w:lang w:val="en-US" w:eastAsia="zh-CN"/>
        </w:rPr>
        <w:t>5</w:t>
      </w:r>
      <w:r>
        <w:rPr>
          <w:rFonts w:hint="eastAsia" w:ascii="方正小标宋简体" w:hAnsi="方正小标宋简体" w:eastAsia="方正小标宋简体" w:cs="方正小标宋简体"/>
          <w:bCs/>
          <w:sz w:val="44"/>
          <w:szCs w:val="44"/>
          <w:shd w:val="clear" w:color="auto" w:fill="FFFFFF"/>
        </w:rPr>
        <w:t>年度部门整体支出绩效自评报告</w:t>
      </w:r>
    </w:p>
    <w:p w14:paraId="781D75A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722032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B67E00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57CD9D5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设内设机构7个：党政办公室、党建工作办公室、经济发展和社会事务办公室、社会治理办公室、综合执法办公室、应急管理办公室、财政所。</w:t>
      </w:r>
    </w:p>
    <w:p w14:paraId="760F75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设直属事业单位4个：便民服务中心、农业综合服务中心、千佛水坝管理所、千佛镇畜牧兽医站。</w:t>
      </w:r>
    </w:p>
    <w:p w14:paraId="28AA2B97">
      <w:pPr>
        <w:pStyle w:val="36"/>
        <w:numPr>
          <w:ilvl w:val="0"/>
          <w:numId w:val="3"/>
        </w:numPr>
        <w:spacing w:line="580" w:lineRule="exact"/>
        <w:ind w:firstLine="643" w:firstLineChars="2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79E9213C">
      <w:pPr>
        <w:pStyle w:val="36"/>
        <w:numPr>
          <w:ilvl w:val="0"/>
          <w:numId w:val="0"/>
        </w:numPr>
        <w:spacing w:line="58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镇党委主要职责：1.宣传和贯彻执行党的路线方针政策和上级党组织及本镇党员代表大会（党员大会）的决议；2.讨论和决定本镇经济建设、政治建设、文化建设、社会建设、生态文明建设和党的建设以及乡村振兴中的重大问题。需由镇政权机关或者集体经费决定的重要事项，经镇党委研究讨论后，由镇政权机关或都集体经济组织依照法律和有关规定作出决定；3.领导镇政权机关、群团组织和其他各类组织，指导、规范、支持和保证上述机关和组织依照国家法律法规以及各自章程履行职责；4.加强镇党委自身建设和村（社区）党组织建设，以及其他隶属镇党委的党组织建设，抓好党员发展和教育管理工作，加强党员队伍建设。维护和执行党的纪律，监督党员干部和其他工作人员严格遵守国家法律法规；5.按照干部管理权限，负责对干部的教育、培训、选拔、考核和监督工作。协助管理上级有关部门派驻干部。做好人才服务和引进工作；6.领导全镇的基层治理，加强社会主义民主法治建设和精神文明建设，加强社会治安综合治理，做好生态环保、美丽乡村建设、民生保障、脱贫致富、民族宗教等工作。</w:t>
      </w:r>
    </w:p>
    <w:p w14:paraId="63647B23">
      <w:pPr>
        <w:pStyle w:val="36"/>
        <w:spacing w:line="580" w:lineRule="exac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镇人民政府主要职责：1.贯彻落实党的路线方针政策和国家法律法规以及上级党委、政府的决议、决定和命令，执行镇党委和镇人民代表大会的决议，加强农村基层政权建设，巩固党在农村的执政基础；2.组织编制本行政区域经济社会发展规划和镇国土空间规划、村规划等有关规划。负责农村基础设施和各项公益事业建设，实施乡村振兴战略，加快经济社会发展，改善群众生产生活环境；3.指导农村经济发展，推进农业经济结构调整，促进经济增长方式转变，促进农业增效、农民增收；4.加强农村公共服务体系建设，抓好基础教育、科技、文化旅游、体育、卫生健康等工作，做好民政事务、就业培训、社会保障、社会救助、劳动关系协调、民族宗教、退役军人事务等工作，促进农村社会事业健康发展；5.加强社会管理，负责或配合县级有关部门做好辖区内自然资源、生态环境保护、市场监管、统计、粮食安全、供销合作、脱贫攻坚等工作；6.推进基层民主法治建设，加强普法依法治理，指导村（居）民委员会工作，维护群众合法权益；7.承担辖区内平安建设，社会治安综合治理、公共安全、安全生产及应急管理等有关工作，处理群众来信来访，化解矛盾纠纷，维护社会安全稳定；8.负责制定完善权力清单、责任清单、公共服务清单、建议清单动态调整和公示机制，推进政务公开，接受群众监督，增强政府公信力；9.负责国防教育、后备力量建设和兵役征集等有关工作；10.承担法律、法规、规章规定的其他职责和上级党委、政府交办的其他任务。</w:t>
      </w:r>
    </w:p>
    <w:p w14:paraId="50DBBE76">
      <w:pPr>
        <w:pStyle w:val="36"/>
        <w:spacing w:line="580" w:lineRule="exac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便民服务中心职责：负责集中受理涉及经济发展、公共管理以及与群众密切相关的政务服务、公共服务、便民服务事项；负责社会保险、医疗保险、民政救助等服务性工作；负责城镇居民就业促进、劳动保障等服务性工作；负责指导村（社区）便民服务点工作；负责政务公开等事务性工作；负责城乡环境综合治理的技术型服务工作；协助构建共建共治共享的村（社区）治理格局；规范村（社区）组织工作事务，切实减轻村（社区）组织负责；指导村（居）民自治组织在公共事务和公益事业办理等方面充分发挥作用；指导健全村（社区）议事协商制度，形成多层次基层协商格局；做好村（社区）信用体系建设服务工作；协助推进法治村（社区）、平安乡村（社区）建设；培育文明新风；深化网格管理，负责综治信息平台运行、管理与维护；引导并支持多方主体参与村（社区）治理；承担文化宣传、广播电视、文艺演出、群众体育等公益服务职责；负责文化旅游项目建设、服务、推广等有关工作；完成镇党委、政府交办的其他工作。</w:t>
      </w:r>
    </w:p>
    <w:p w14:paraId="7A36FB6C">
      <w:pPr>
        <w:keepNext w:val="0"/>
        <w:keepLines w:val="0"/>
        <w:pageBreakBefore w:val="0"/>
        <w:widowControl/>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农业综合服务中心职责：负责农业、林业、水利、农业机械、水产等基层农业技术推广；负责农作物病虫害监测与防治、护林防火、防尘抗旱、农田水利建设、农产品质量安全监测等服务性工作；负责供销合作社工作，抓好基层组织及经营服务网点建设，加强监管、指导和服务；完成镇党委、政府交办的其他工作。</w:t>
      </w:r>
    </w:p>
    <w:p w14:paraId="4C3E485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千佛镇人民政府是一个独立法人、独立财务核算的单位，</w:t>
      </w:r>
      <w:r>
        <w:rPr>
          <w:rFonts w:hint="default" w:ascii="Times New Roman" w:hAnsi="Times New Roman" w:eastAsia="仿宋_GB2312" w:cs="Times New Roman"/>
          <w:kern w:val="2"/>
          <w:sz w:val="32"/>
          <w:szCs w:val="32"/>
          <w:lang w:val="en-US" w:eastAsia="zh-CN" w:bidi="ar-SA"/>
        </w:rPr>
        <w:t>截至202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年末</w:t>
      </w:r>
      <w:r>
        <w:rPr>
          <w:rFonts w:hint="eastAsia" w:ascii="Times New Roman" w:hAnsi="Times New Roman" w:eastAsia="仿宋_GB2312" w:cs="Times New Roman"/>
          <w:kern w:val="2"/>
          <w:sz w:val="32"/>
          <w:szCs w:val="32"/>
          <w:lang w:val="en-US" w:eastAsia="zh-CN" w:bidi="ar-SA"/>
        </w:rPr>
        <w:t>编制数为63人，其中：行政编制30人，工勤编制2人，事业编制31人；2025年末实有58人，其中：行政编制27人，事业编制31人。</w:t>
      </w:r>
    </w:p>
    <w:p w14:paraId="1ED6C6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E807F7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2025</w:t>
      </w:r>
      <w:r>
        <w:rPr>
          <w:rFonts w:hint="eastAsia" w:ascii="Times New Roman" w:hAnsi="Times New Roman" w:eastAsia="仿宋_GB2312" w:cs="Times New Roman"/>
          <w:kern w:val="2"/>
          <w:sz w:val="32"/>
          <w:szCs w:val="32"/>
          <w:lang w:val="zh-CN" w:eastAsia="zh-CN" w:bidi="ar-SA"/>
        </w:rPr>
        <w:t>全年部门财政收入</w:t>
      </w:r>
      <w:r>
        <w:rPr>
          <w:rFonts w:hint="eastAsia" w:ascii="Times New Roman" w:hAnsi="Times New Roman" w:eastAsia="仿宋_GB2312" w:cs="Times New Roman"/>
          <w:kern w:val="2"/>
          <w:sz w:val="32"/>
          <w:szCs w:val="32"/>
          <w:lang w:val="en-US" w:eastAsia="zh-CN" w:bidi="ar-SA"/>
        </w:rPr>
        <w:t>1784.07</w:t>
      </w:r>
      <w:r>
        <w:rPr>
          <w:rFonts w:hint="eastAsia" w:ascii="Times New Roman" w:hAnsi="Times New Roman" w:eastAsia="仿宋_GB2312" w:cs="Times New Roman"/>
          <w:kern w:val="2"/>
          <w:sz w:val="32"/>
          <w:szCs w:val="32"/>
          <w:lang w:val="zh-CN" w:eastAsia="zh-CN" w:bidi="ar-SA"/>
        </w:rPr>
        <w:t>万元，其中：一般公共预算财政拨款收入</w:t>
      </w:r>
      <w:r>
        <w:rPr>
          <w:rFonts w:hint="eastAsia" w:ascii="Times New Roman" w:hAnsi="Times New Roman" w:eastAsia="仿宋_GB2312" w:cs="Times New Roman"/>
          <w:kern w:val="2"/>
          <w:sz w:val="32"/>
          <w:szCs w:val="32"/>
          <w:lang w:val="en-US" w:eastAsia="zh-CN" w:bidi="ar-SA"/>
        </w:rPr>
        <w:t>1645.13</w:t>
      </w:r>
      <w:r>
        <w:rPr>
          <w:rFonts w:hint="eastAsia" w:ascii="Times New Roman" w:hAnsi="Times New Roman" w:eastAsia="仿宋_GB2312" w:cs="Times New Roman"/>
          <w:kern w:val="2"/>
          <w:sz w:val="32"/>
          <w:szCs w:val="32"/>
          <w:lang w:val="zh-CN" w:eastAsia="zh-CN" w:bidi="ar-SA"/>
        </w:rPr>
        <w:t>万元，政府性基金预算财政拨款收入</w:t>
      </w:r>
      <w:r>
        <w:rPr>
          <w:rFonts w:hint="eastAsia" w:ascii="Times New Roman" w:hAnsi="Times New Roman" w:eastAsia="仿宋_GB2312" w:cs="Times New Roman"/>
          <w:kern w:val="2"/>
          <w:sz w:val="32"/>
          <w:szCs w:val="32"/>
          <w:lang w:val="en-US" w:eastAsia="zh-CN" w:bidi="ar-SA"/>
        </w:rPr>
        <w:t>138.94万元。</w:t>
      </w:r>
    </w:p>
    <w:p w14:paraId="7F25639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2025</w:t>
      </w:r>
      <w:r>
        <w:rPr>
          <w:rFonts w:hint="eastAsia" w:ascii="Times New Roman" w:hAnsi="Times New Roman" w:eastAsia="仿宋_GB2312" w:cs="Times New Roman"/>
          <w:kern w:val="2"/>
          <w:sz w:val="32"/>
          <w:szCs w:val="32"/>
          <w:lang w:val="zh-CN" w:eastAsia="zh-CN" w:bidi="ar-SA"/>
        </w:rPr>
        <w:t>全年部门财政支出</w:t>
      </w:r>
      <w:r>
        <w:rPr>
          <w:rFonts w:hint="eastAsia" w:ascii="Times New Roman" w:hAnsi="Times New Roman" w:eastAsia="仿宋_GB2312" w:cs="Times New Roman"/>
          <w:kern w:val="2"/>
          <w:sz w:val="32"/>
          <w:szCs w:val="32"/>
          <w:lang w:val="en-US" w:eastAsia="zh-CN" w:bidi="ar-SA"/>
        </w:rPr>
        <w:t>1784.07</w:t>
      </w:r>
      <w:r>
        <w:rPr>
          <w:rFonts w:hint="eastAsia" w:ascii="Times New Roman" w:hAnsi="Times New Roman" w:eastAsia="仿宋_GB2312" w:cs="Times New Roman"/>
          <w:kern w:val="2"/>
          <w:sz w:val="32"/>
          <w:szCs w:val="32"/>
          <w:lang w:val="zh-CN" w:eastAsia="zh-CN" w:bidi="ar-SA"/>
        </w:rPr>
        <w:t>万元，其中：基本支出</w:t>
      </w:r>
      <w:r>
        <w:rPr>
          <w:rFonts w:hint="eastAsia" w:ascii="Times New Roman" w:hAnsi="Times New Roman" w:eastAsia="仿宋_GB2312" w:cs="Times New Roman"/>
          <w:kern w:val="2"/>
          <w:sz w:val="32"/>
          <w:szCs w:val="32"/>
          <w:lang w:val="en-US" w:eastAsia="zh-CN" w:bidi="ar-SA"/>
        </w:rPr>
        <w:t>1151.49</w:t>
      </w:r>
      <w:r>
        <w:rPr>
          <w:rFonts w:hint="eastAsia" w:ascii="Times New Roman" w:hAnsi="Times New Roman" w:eastAsia="仿宋_GB2312" w:cs="Times New Roman"/>
          <w:kern w:val="2"/>
          <w:sz w:val="32"/>
          <w:szCs w:val="32"/>
          <w:lang w:val="zh-CN" w:eastAsia="zh-CN" w:bidi="ar-SA"/>
        </w:rPr>
        <w:t>万元，项目支出</w:t>
      </w:r>
      <w:r>
        <w:rPr>
          <w:rFonts w:hint="eastAsia" w:ascii="Times New Roman" w:hAnsi="Times New Roman" w:eastAsia="仿宋_GB2312" w:cs="Times New Roman"/>
          <w:kern w:val="2"/>
          <w:sz w:val="32"/>
          <w:szCs w:val="32"/>
          <w:lang w:val="en-US" w:eastAsia="zh-CN" w:bidi="ar-SA"/>
        </w:rPr>
        <w:t>632.58</w:t>
      </w:r>
      <w:r>
        <w:rPr>
          <w:rFonts w:hint="eastAsia" w:ascii="Times New Roman" w:hAnsi="Times New Roman" w:eastAsia="仿宋_GB2312" w:cs="Times New Roman"/>
          <w:kern w:val="2"/>
          <w:sz w:val="32"/>
          <w:szCs w:val="32"/>
          <w:lang w:val="zh-CN" w:eastAsia="zh-CN" w:bidi="ar-SA"/>
        </w:rPr>
        <w:t>万元</w:t>
      </w:r>
      <w:r>
        <w:rPr>
          <w:rFonts w:hint="eastAsia" w:ascii="Times New Roman" w:hAnsi="Times New Roman" w:eastAsia="仿宋_GB2312" w:cs="Times New Roman"/>
          <w:kern w:val="2"/>
          <w:sz w:val="32"/>
          <w:szCs w:val="32"/>
          <w:lang w:val="en-US" w:eastAsia="zh-CN" w:bidi="ar-SA"/>
        </w:rPr>
        <w:t>。</w:t>
      </w:r>
    </w:p>
    <w:p w14:paraId="4EF971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kern w:val="2"/>
          <w:sz w:val="32"/>
          <w:szCs w:val="32"/>
          <w:lang w:val="zh-CN" w:eastAsia="zh-CN" w:bidi="ar-SA"/>
        </w:rPr>
        <w:t>202</w:t>
      </w:r>
      <w:r>
        <w:rPr>
          <w:rFonts w:hint="eastAsia" w:ascii="Times New Roman" w:hAnsi="Times New Roman"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年全年部门财政</w:t>
      </w:r>
      <w:r>
        <w:rPr>
          <w:rFonts w:hint="eastAsia" w:ascii="Times New Roman" w:hAnsi="Times New Roman" w:eastAsia="仿宋_GB2312" w:cs="Times New Roman"/>
          <w:kern w:val="2"/>
          <w:sz w:val="32"/>
          <w:szCs w:val="32"/>
          <w:lang w:val="en-US" w:eastAsia="zh-CN" w:bidi="ar-SA"/>
        </w:rPr>
        <w:t>无结转结余资金</w:t>
      </w:r>
      <w:r>
        <w:rPr>
          <w:rFonts w:hint="default" w:ascii="Times New Roman" w:hAnsi="Times New Roman" w:eastAsia="仿宋_GB2312" w:cs="Times New Roman"/>
          <w:kern w:val="2"/>
          <w:sz w:val="32"/>
          <w:szCs w:val="32"/>
          <w:lang w:val="en-US" w:eastAsia="zh-CN" w:bidi="ar-SA"/>
        </w:rPr>
        <w:t>。</w:t>
      </w:r>
    </w:p>
    <w:p w14:paraId="410C7D6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A3F101A">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履职效能。</w:t>
      </w:r>
      <w:r>
        <w:rPr>
          <w:rFonts w:hint="eastAsia" w:ascii="仿宋_GB2312" w:hAnsi="宋体" w:eastAsia="仿宋_GB2312" w:cs="宋体"/>
          <w:color w:val="000000"/>
          <w:sz w:val="32"/>
          <w:szCs w:val="32"/>
          <w:shd w:val="clear" w:color="auto" w:fill="FFFFFF"/>
          <w:lang w:val="zh-CN"/>
        </w:rPr>
        <w:t>202</w:t>
      </w:r>
      <w:r>
        <w:rPr>
          <w:rFonts w:hint="eastAsia" w:ascii="仿宋_GB2312" w:hAnsi="宋体" w:eastAsia="仿宋_GB2312" w:cs="宋体"/>
          <w:color w:val="000000"/>
          <w:sz w:val="32"/>
          <w:szCs w:val="32"/>
          <w:shd w:val="clear" w:color="auto" w:fill="FFFFFF"/>
          <w:lang w:val="en-US" w:eastAsia="zh-CN"/>
        </w:rPr>
        <w:t>5</w:t>
      </w:r>
      <w:r>
        <w:rPr>
          <w:rFonts w:hint="eastAsia" w:ascii="仿宋_GB2312" w:hAnsi="宋体" w:eastAsia="仿宋_GB2312" w:cs="宋体"/>
          <w:color w:val="000000"/>
          <w:sz w:val="32"/>
          <w:szCs w:val="32"/>
          <w:shd w:val="clear" w:color="auto" w:fill="FFFFFF"/>
          <w:lang w:val="zh-CN"/>
        </w:rPr>
        <w:t>年，镇政府围绕县委、县政府的工作部署，根据年初工作规划和重点工作安排，积极履行职责，强化管理，较好地完成了年度工作目标。同时，通过预算收支的管理、建立内部规章制度、严格规范管理流程等一系列措施，单位年度整体支出管理得到有效提升。具体绩效情况如下:</w:t>
      </w:r>
    </w:p>
    <w:p w14:paraId="2C245AB4">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1</w:t>
      </w:r>
      <w:r>
        <w:rPr>
          <w:rFonts w:hint="eastAsia" w:ascii="仿宋_GB2312" w:hAnsi="宋体" w:eastAsia="仿宋_GB2312" w:cs="宋体"/>
          <w:color w:val="000000"/>
          <w:sz w:val="32"/>
          <w:szCs w:val="32"/>
          <w:shd w:val="clear" w:color="auto" w:fill="FFFFFF"/>
          <w:lang w:val="zh-CN"/>
        </w:rPr>
        <w:t>）预算执行方面。本年预算配置控制较好，按照县委编办核定的单位财政供养人员编制数要求，实际在职人员数与编制数基本相符；按照绩效目标设定的要求，项目执行过程中，在保证项目质量安全的前提下，单位合理控制成本，比预期支出有所减少；“三公经费”支出总额控制得当，较上年</w:t>
      </w:r>
      <w:r>
        <w:rPr>
          <w:rFonts w:hint="eastAsia" w:ascii="仿宋_GB2312" w:hAnsi="宋体" w:eastAsia="仿宋_GB2312" w:cs="宋体"/>
          <w:color w:val="000000"/>
          <w:sz w:val="32"/>
          <w:szCs w:val="32"/>
          <w:shd w:val="clear" w:color="auto" w:fill="FFFFFF"/>
          <w:lang w:val="en-US" w:eastAsia="zh-CN"/>
        </w:rPr>
        <w:t>持平</w:t>
      </w:r>
      <w:r>
        <w:rPr>
          <w:rFonts w:hint="eastAsia" w:ascii="仿宋_GB2312" w:hAnsi="宋体" w:eastAsia="仿宋_GB2312" w:cs="宋体"/>
          <w:color w:val="000000"/>
          <w:sz w:val="32"/>
          <w:szCs w:val="32"/>
          <w:shd w:val="clear" w:color="auto" w:fill="FFFFFF"/>
          <w:lang w:val="zh-CN"/>
        </w:rPr>
        <w:t>。</w:t>
      </w:r>
    </w:p>
    <w:p w14:paraId="788FFEAE">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2</w:t>
      </w:r>
      <w:r>
        <w:rPr>
          <w:rFonts w:hint="eastAsia" w:ascii="仿宋_GB2312" w:hAnsi="宋体" w:eastAsia="仿宋_GB2312" w:cs="宋体"/>
          <w:color w:val="000000"/>
          <w:sz w:val="32"/>
          <w:szCs w:val="32"/>
          <w:shd w:val="clear" w:color="auto" w:fill="FFFFFF"/>
          <w:lang w:val="zh-CN"/>
        </w:rPr>
        <w:t>）预算完成方面。镇政府按照202</w:t>
      </w:r>
      <w:r>
        <w:rPr>
          <w:rFonts w:hint="eastAsia" w:ascii="仿宋_GB2312" w:hAnsi="宋体" w:eastAsia="仿宋_GB2312" w:cs="宋体"/>
          <w:color w:val="000000"/>
          <w:sz w:val="32"/>
          <w:szCs w:val="32"/>
          <w:shd w:val="clear" w:color="auto" w:fill="FFFFFF"/>
          <w:lang w:val="en-US" w:eastAsia="zh-CN"/>
        </w:rPr>
        <w:t>5</w:t>
      </w:r>
      <w:r>
        <w:rPr>
          <w:rFonts w:hint="eastAsia" w:ascii="仿宋_GB2312" w:hAnsi="宋体" w:eastAsia="仿宋_GB2312" w:cs="宋体"/>
          <w:color w:val="000000"/>
          <w:sz w:val="32"/>
          <w:szCs w:val="32"/>
          <w:shd w:val="clear" w:color="auto" w:fill="FFFFFF"/>
          <w:lang w:val="zh-CN"/>
        </w:rPr>
        <w:t>年初制定的单位预算方案，无论是在资金、项目还是在支出模式、支出结构上，都严格管理，较好地完成了年初绩效预算的目标。</w:t>
      </w:r>
    </w:p>
    <w:p w14:paraId="7EBEAA77">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3</w:t>
      </w:r>
      <w:r>
        <w:rPr>
          <w:rFonts w:hint="eastAsia" w:ascii="仿宋_GB2312" w:hAnsi="宋体" w:eastAsia="仿宋_GB2312" w:cs="宋体"/>
          <w:color w:val="000000"/>
          <w:sz w:val="32"/>
          <w:szCs w:val="32"/>
          <w:shd w:val="clear" w:color="auto" w:fill="FFFFFF"/>
          <w:lang w:val="zh-CN"/>
        </w:rPr>
        <w:t>）违规记录方面。镇政府在资金支出中，严格遵守财经纪律，按照年初预算执行，无违规记录。</w:t>
      </w:r>
    </w:p>
    <w:p w14:paraId="0A3385B3">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2.</w:t>
      </w:r>
      <w:r>
        <w:rPr>
          <w:rFonts w:eastAsia="楷体_GB2312" w:cs="楷体_GB2312"/>
          <w:color w:val="000000"/>
          <w:kern w:val="0"/>
          <w:sz w:val="33"/>
          <w:szCs w:val="33"/>
          <w:shd w:val="clear" w:color="auto" w:fill="FFFFFF"/>
          <w:lang w:val="zh-CN"/>
        </w:rPr>
        <w:t>预算管理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预算编制质量。在预算编制过程中，千佛镇积极结合本镇经济社会发展规划及年度重点工作任务，对各项收支进行科学预估，部门间沟通协作机制逐步完善，使得预算编制与实际业务贴合度提高。（2）单位收入统筹。在单位收入统筹方面，基本能够按照规定将各项收入全部纳入预算管理，实现“收支两条线”。财政拨款收入作为主要收入来源，能够根据上级政策和资金安排及时入账，然而收入结构仍较为单一，对财政拨款依赖度高，无非税收入等。（3）严控一般性支出。千佛镇严格贯彻落实中央关于严控一般性支出的要求，制定一系列管理制度，对“三公经费”、会议费、差旅费等一般性支出进行严格管理，相关支出呈逐年下降趋势。</w:t>
      </w:r>
    </w:p>
    <w:p w14:paraId="55658041">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3.</w:t>
      </w:r>
      <w:r>
        <w:rPr>
          <w:rFonts w:eastAsia="楷体_GB2312" w:cs="楷体_GB2312"/>
          <w:color w:val="000000"/>
          <w:kern w:val="0"/>
          <w:sz w:val="33"/>
          <w:szCs w:val="33"/>
          <w:shd w:val="clear" w:color="auto" w:fill="FFFFFF"/>
          <w:lang w:val="zh-CN"/>
        </w:rPr>
        <w:t>财务管理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财务管理制度。建立起涵盖预算管理、收支管理、资产管理等环节的财务管理制度体系，对日常财务工作流程、审批权限等作出明确规定，为财务管理规范化提供了基本制度框架。（2）财务岗位设置。按照基本财务规范设置了会计、出纳等核心岗位，明确了岗位职责，财务人员具备基本的专业知识，能够完成日常账务处理、资金收付等工作。</w:t>
      </w:r>
    </w:p>
    <w:p w14:paraId="485FCF62">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4.</w:t>
      </w:r>
      <w:r>
        <w:rPr>
          <w:rFonts w:eastAsia="楷体_GB2312" w:cs="楷体_GB2312"/>
          <w:color w:val="000000"/>
          <w:kern w:val="0"/>
          <w:sz w:val="33"/>
          <w:szCs w:val="33"/>
          <w:shd w:val="clear" w:color="auto" w:fill="FFFFFF"/>
          <w:lang w:val="zh-CN"/>
        </w:rPr>
        <w:t>资产管理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en-US" w:eastAsia="zh-CN" w:bidi="ar-SA"/>
        </w:rPr>
        <w:t>资产月报和年报及时报送，做到账账相符，同时，千佛镇通过党建引领，积极探索资产盘活路径，如将汤家寺小学、卫生院等多处闲置资产盘活，分别建成农产品加工基地、稻药轮作成果应用推广中心等现代化产业设施，带动周边产业发展，提供就业岗位</w:t>
      </w:r>
      <w:r>
        <w:rPr>
          <w:rFonts w:hint="eastAsia" w:ascii="仿宋_GB2312" w:hAnsi="宋体" w:eastAsia="仿宋_GB2312" w:cs="宋体"/>
          <w:color w:val="000000"/>
          <w:kern w:val="0"/>
          <w:sz w:val="32"/>
          <w:szCs w:val="32"/>
          <w:shd w:val="clear" w:color="auto" w:fill="FFFFFF"/>
          <w:lang w:val="zh-CN" w:eastAsia="zh-CN" w:bidi="ar-SA"/>
        </w:rPr>
        <w:t>。</w:t>
      </w:r>
    </w:p>
    <w:p w14:paraId="1F97A80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楷体_GB2312" w:cs="楷体_GB2312"/>
          <w:color w:val="000000"/>
          <w:kern w:val="0"/>
          <w:sz w:val="33"/>
          <w:szCs w:val="33"/>
          <w:shd w:val="clear" w:color="auto" w:fill="FFFFFF"/>
        </w:rPr>
        <w:t>5.</w:t>
      </w:r>
      <w:r>
        <w:rPr>
          <w:rFonts w:eastAsia="楷体_GB2312" w:cs="楷体_GB2312"/>
          <w:color w:val="000000"/>
          <w:kern w:val="0"/>
          <w:sz w:val="33"/>
          <w:szCs w:val="33"/>
          <w:shd w:val="clear" w:color="auto" w:fill="FFFFFF"/>
          <w:lang w:val="zh-CN"/>
        </w:rPr>
        <w:t>采购管理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支持中小企业发展</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在采购预算编制阶段，合理预留面向中小企业的采购份额，如公务用车运行与维护等，有力地为中小企业创造了市场机会。（2）采购执行率。整体来看，采购执行率呈现出较为稳定的态势，但仍有一定的提升空间。对执行率较低的项目进行深入分析发现，主要原因为供应商因自身原因无法按时供货等</w:t>
      </w:r>
      <w:r>
        <w:rPr>
          <w:rFonts w:hint="eastAsia" w:ascii="仿宋_GB2312" w:hAnsi="宋体" w:eastAsia="仿宋_GB2312" w:cs="宋体"/>
          <w:color w:val="000000"/>
          <w:kern w:val="0"/>
          <w:sz w:val="32"/>
          <w:szCs w:val="32"/>
          <w:shd w:val="clear" w:color="auto" w:fill="FFFFFF"/>
          <w:lang w:val="zh-CN" w:eastAsia="zh-CN" w:bidi="ar-SA"/>
        </w:rPr>
        <w:t>。</w:t>
      </w:r>
    </w:p>
    <w:p w14:paraId="01A88E0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仿宋_GB2312"/>
          <w:color w:val="auto"/>
          <w:kern w:val="2"/>
          <w:sz w:val="32"/>
          <w:szCs w:val="32"/>
          <w:highlight w:val="none"/>
          <w:lang w:val="zh-CN" w:eastAsia="zh-CN" w:bidi="ar-SA"/>
        </w:rPr>
        <w:t>常年项目绩效分析。该类项目总数</w:t>
      </w:r>
      <w:r>
        <w:rPr>
          <w:rFonts w:hint="eastAsia" w:ascii="Times New Roman" w:hAnsi="Times New Roman" w:eastAsia="仿宋_GB2312" w:cs="仿宋_GB2312"/>
          <w:color w:val="auto"/>
          <w:kern w:val="2"/>
          <w:sz w:val="32"/>
          <w:szCs w:val="32"/>
          <w:highlight w:val="none"/>
          <w:lang w:val="en-US" w:eastAsia="zh-CN" w:bidi="ar-SA"/>
        </w:rPr>
        <w:t>66</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1764.7</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5FED159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阶段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一次性</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项目绩效分析。该类项目总数</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19.37</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5FCE001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60" w:firstLineChars="200"/>
        <w:contextualSpacing/>
        <w:jc w:val="both"/>
        <w:textAlignment w:val="auto"/>
        <w:outlineLvl w:val="9"/>
        <w:rPr>
          <w:rFonts w:hint="eastAsia" w:ascii="Times New Roman" w:hAnsi="Times New Roman" w:eastAsia="楷体_GB2312" w:cs="楷体_GB2312"/>
          <w:color w:val="000000"/>
          <w:kern w:val="0"/>
          <w:sz w:val="33"/>
          <w:szCs w:val="33"/>
          <w:highlight w:val="none"/>
          <w:shd w:val="clear" w:color="auto" w:fill="FFFFFF"/>
          <w:lang w:val="zh-CN"/>
        </w:rPr>
      </w:pPr>
      <w:r>
        <w:rPr>
          <w:rFonts w:hint="eastAsia" w:ascii="Times New Roman" w:hAnsi="Times New Roman" w:eastAsia="楷体_GB2312" w:cs="楷体_GB2312"/>
          <w:color w:val="000000"/>
          <w:kern w:val="0"/>
          <w:sz w:val="33"/>
          <w:szCs w:val="33"/>
          <w:highlight w:val="none"/>
          <w:shd w:val="clear" w:color="auto" w:fill="FFFFFF"/>
          <w:lang w:val="en-US" w:eastAsia="zh-CN"/>
        </w:rPr>
        <w:t>1.</w:t>
      </w:r>
      <w:r>
        <w:rPr>
          <w:rFonts w:hint="eastAsia" w:ascii="Times New Roman" w:hAnsi="Times New Roman" w:eastAsia="楷体_GB2312" w:cs="楷体_GB2312"/>
          <w:color w:val="000000"/>
          <w:kern w:val="0"/>
          <w:sz w:val="33"/>
          <w:szCs w:val="33"/>
          <w:highlight w:val="none"/>
          <w:shd w:val="clear" w:color="auto" w:fill="FFFFFF"/>
          <w:lang w:val="zh-CN"/>
        </w:rPr>
        <w:t>项目决策。</w:t>
      </w:r>
      <w:r>
        <w:rPr>
          <w:rFonts w:hint="eastAsia" w:ascii="仿宋_GB2312" w:hAnsi="宋体" w:eastAsia="仿宋_GB2312" w:cs="宋体"/>
          <w:color w:val="000000"/>
          <w:kern w:val="0"/>
          <w:sz w:val="32"/>
          <w:szCs w:val="32"/>
          <w:shd w:val="clear" w:color="auto" w:fill="FFFFFF"/>
          <w:lang w:val="en-US" w:eastAsia="zh-CN" w:bidi="ar-SA"/>
        </w:rPr>
        <w:t>千佛镇建立了较为完善的项目决策机制，成立了由镇政府领导的项目决策小组，广泛收集群众意见，保证决策过程民主、科学，降低决策风险。项目目标与千佛镇发展定位、资源禀赋相匹配，带动农民增收，符合当地农业基础和市场需求，同时，严格执行项目入库标准，做好项目库的信息维护，确保信息准确、完整</w:t>
      </w:r>
      <w:r>
        <w:rPr>
          <w:rFonts w:hint="eastAsia" w:ascii="仿宋_GB2312" w:hAnsi="宋体" w:eastAsia="仿宋_GB2312" w:cs="宋体"/>
          <w:color w:val="000000"/>
          <w:kern w:val="0"/>
          <w:sz w:val="32"/>
          <w:szCs w:val="32"/>
          <w:shd w:val="clear" w:color="auto" w:fill="FFFFFF"/>
          <w:lang w:val="zh-CN" w:eastAsia="zh-CN" w:bidi="ar-SA"/>
        </w:rPr>
        <w:t>。</w:t>
      </w:r>
    </w:p>
    <w:p w14:paraId="4803E2F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60" w:firstLineChars="200"/>
        <w:contextualSpacing/>
        <w:jc w:val="both"/>
        <w:textAlignment w:val="auto"/>
        <w:outlineLvl w:val="9"/>
        <w:rPr>
          <w:rFonts w:hint="eastAsia" w:ascii="仿宋_GB2312" w:hAnsi="宋体" w:eastAsia="仿宋_GB2312" w:cs="宋体"/>
          <w:color w:val="000000"/>
          <w:kern w:val="0"/>
          <w:sz w:val="32"/>
          <w:szCs w:val="32"/>
          <w:shd w:val="clear" w:color="auto" w:fill="FFFFFF"/>
          <w:lang w:val="zh-CN" w:eastAsia="zh-CN" w:bidi="ar-SA"/>
        </w:rPr>
      </w:pPr>
      <w:r>
        <w:rPr>
          <w:rFonts w:hint="eastAsia" w:ascii="Times New Roman" w:hAnsi="Times New Roman" w:eastAsia="楷体_GB2312" w:cs="楷体_GB2312"/>
          <w:color w:val="000000"/>
          <w:kern w:val="0"/>
          <w:sz w:val="33"/>
          <w:szCs w:val="33"/>
          <w:highlight w:val="none"/>
          <w:shd w:val="clear" w:color="auto" w:fill="FFFFFF"/>
          <w:lang w:val="en-US" w:eastAsia="zh-CN"/>
        </w:rPr>
        <w:t>2.项目执行</w:t>
      </w:r>
      <w:r>
        <w:rPr>
          <w:rFonts w:hint="eastAsia" w:ascii="Times New Roman" w:hAnsi="Times New Roman" w:eastAsia="楷体_GB2312" w:cs="楷体_GB2312"/>
          <w:color w:val="000000"/>
          <w:kern w:val="0"/>
          <w:sz w:val="33"/>
          <w:szCs w:val="33"/>
          <w:highlight w:val="none"/>
          <w:shd w:val="clear" w:color="auto" w:fill="FFFFFF"/>
          <w:lang w:val="zh-CN"/>
        </w:rPr>
        <w:t>。</w:t>
      </w:r>
      <w:r>
        <w:rPr>
          <w:rFonts w:hint="eastAsia" w:ascii="仿宋_GB2312" w:hAnsi="宋体" w:eastAsia="仿宋_GB2312" w:cs="宋体"/>
          <w:color w:val="000000"/>
          <w:kern w:val="0"/>
          <w:sz w:val="32"/>
          <w:szCs w:val="32"/>
          <w:shd w:val="clear" w:color="auto" w:fill="FFFFFF"/>
          <w:lang w:val="en-US" w:eastAsia="zh-CN" w:bidi="ar-SA"/>
        </w:rPr>
        <w:t>项目资金严格遵循专款专用原则，资金全程接受财政、审计部门、群众监督，所有项目均按计划建设完成，预算执行率保持在100%</w:t>
      </w:r>
      <w:r>
        <w:rPr>
          <w:rFonts w:hint="eastAsia" w:ascii="仿宋_GB2312" w:hAnsi="宋体" w:eastAsia="仿宋_GB2312" w:cs="宋体"/>
          <w:color w:val="000000"/>
          <w:kern w:val="0"/>
          <w:sz w:val="32"/>
          <w:szCs w:val="32"/>
          <w:shd w:val="clear" w:color="auto" w:fill="FFFFFF"/>
          <w:lang w:val="zh-CN" w:eastAsia="zh-CN" w:bidi="ar-SA"/>
        </w:rPr>
        <w:t>。</w:t>
      </w:r>
    </w:p>
    <w:p w14:paraId="1C113D4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both"/>
        <w:textAlignment w:val="auto"/>
        <w:outlineLvl w:val="9"/>
        <w:rPr>
          <w:rFonts w:hint="eastAsia" w:ascii="仿宋_GB2312" w:hAnsi="宋体" w:eastAsia="仿宋_GB2312" w:cs="宋体"/>
          <w:color w:val="000000"/>
          <w:kern w:val="0"/>
          <w:sz w:val="32"/>
          <w:szCs w:val="32"/>
          <w:shd w:val="clear" w:color="auto" w:fill="FFFFFF"/>
          <w:lang w:val="zh-CN" w:eastAsia="zh-CN" w:bidi="ar-SA"/>
        </w:rPr>
      </w:pPr>
      <w:r>
        <w:rPr>
          <w:rFonts w:hint="eastAsia" w:ascii="Times New Roman" w:hAnsi="Times New Roman" w:eastAsia="楷体_GB2312" w:cs="楷体_GB2312"/>
          <w:color w:val="000000"/>
          <w:kern w:val="0"/>
          <w:sz w:val="33"/>
          <w:szCs w:val="33"/>
          <w:highlight w:val="none"/>
          <w:shd w:val="clear" w:color="auto" w:fill="FFFFFF"/>
          <w:lang w:val="en-US" w:eastAsia="zh-CN"/>
        </w:rPr>
        <w:t>3.</w:t>
      </w:r>
      <w:r>
        <w:rPr>
          <w:rFonts w:hint="eastAsia" w:ascii="Times New Roman" w:hAnsi="Times New Roman" w:eastAsia="楷体_GB2312" w:cs="楷体_GB2312"/>
          <w:color w:val="000000"/>
          <w:kern w:val="0"/>
          <w:sz w:val="33"/>
          <w:szCs w:val="33"/>
          <w:highlight w:val="none"/>
          <w:shd w:val="clear" w:color="auto" w:fill="FFFFFF"/>
          <w:lang w:val="zh-CN"/>
        </w:rPr>
        <w:t>目标实现。</w:t>
      </w:r>
      <w:r>
        <w:rPr>
          <w:rFonts w:hint="eastAsia" w:ascii="仿宋_GB2312" w:hAnsi="宋体" w:eastAsia="仿宋_GB2312" w:cs="宋体"/>
          <w:color w:val="000000"/>
          <w:kern w:val="0"/>
          <w:sz w:val="32"/>
          <w:szCs w:val="32"/>
          <w:shd w:val="clear" w:color="auto" w:fill="FFFFFF"/>
          <w:lang w:val="en-US" w:eastAsia="zh-CN" w:bidi="ar-SA"/>
        </w:rPr>
        <w:t>千佛镇大多项目完成既定目标，项目实施在经济、社会等多维度产生积极效益，但仍需加强风险研判与动态调整能力，进一步提升目标实现的精准性</w:t>
      </w:r>
      <w:r>
        <w:rPr>
          <w:rFonts w:hint="eastAsia" w:ascii="仿宋_GB2312" w:hAnsi="宋体" w:eastAsia="仿宋_GB2312" w:cs="宋体"/>
          <w:color w:val="000000"/>
          <w:kern w:val="0"/>
          <w:sz w:val="32"/>
          <w:szCs w:val="32"/>
          <w:shd w:val="clear" w:color="auto" w:fill="FFFFFF"/>
          <w:lang w:val="zh-CN" w:eastAsia="zh-CN" w:bidi="ar-SA"/>
        </w:rPr>
        <w:t>。</w:t>
      </w:r>
    </w:p>
    <w:p w14:paraId="4B3115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宋体" w:eastAsia="仿宋_GB2312" w:cs="宋体"/>
          <w:color w:val="000000"/>
          <w:kern w:val="0"/>
          <w:sz w:val="32"/>
          <w:szCs w:val="32"/>
          <w:shd w:val="clear" w:color="auto" w:fill="FFFFFF"/>
          <w:lang w:val="en-US" w:eastAsia="zh-CN" w:bidi="ar-SA"/>
        </w:rPr>
        <w:t>千佛镇通过强化内部管理、深化信息公开、严格整改落实，形成了“以评促改、以评促管、以评促建”的良性循环</w:t>
      </w:r>
      <w:r>
        <w:rPr>
          <w:rFonts w:hint="eastAsia" w:ascii="Times New Roman" w:hAnsi="Times New Roman" w:eastAsia="仿宋_GB2312" w:cs="仿宋_GB2312"/>
          <w:color w:val="auto"/>
          <w:kern w:val="2"/>
          <w:sz w:val="32"/>
          <w:szCs w:val="32"/>
          <w:highlight w:val="none"/>
          <w:lang w:val="zh-CN" w:eastAsia="zh-CN" w:bidi="ar-SA"/>
        </w:rPr>
        <w:t>。</w:t>
      </w:r>
    </w:p>
    <w:p w14:paraId="685B27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184AC8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宋体" w:eastAsia="仿宋_GB2312" w:cs="宋体"/>
          <w:color w:val="000000"/>
          <w:kern w:val="0"/>
          <w:sz w:val="32"/>
          <w:szCs w:val="32"/>
          <w:shd w:val="clear" w:color="auto" w:fill="FFFFFF"/>
          <w:lang w:val="zh-CN"/>
        </w:rPr>
        <w:t>镇政府严格按照年初预算执行，项目按规定实施，遵守财经纪律，厉行节约，严格控制“三公经费”支出，廉洁行政，认真搞好预、决算，及时进行财务核算，完成了各项任务，绩效评价自评为</w:t>
      </w:r>
      <w:r>
        <w:rPr>
          <w:rFonts w:hint="eastAsia" w:ascii="仿宋_GB2312" w:hAnsi="宋体" w:eastAsia="仿宋_GB2312" w:cs="宋体"/>
          <w:color w:val="000000"/>
          <w:kern w:val="0"/>
          <w:sz w:val="32"/>
          <w:szCs w:val="32"/>
          <w:shd w:val="clear" w:color="auto" w:fill="FFFFFF"/>
        </w:rPr>
        <w:t>96分</w:t>
      </w:r>
      <w:r>
        <w:rPr>
          <w:rFonts w:hint="eastAsia" w:ascii="Times New Roman" w:hAnsi="Times New Roman" w:eastAsia="仿宋_GB2312" w:cs="Times New Roman"/>
          <w:sz w:val="32"/>
          <w:szCs w:val="32"/>
          <w:u w:val="none"/>
          <w:lang w:val="en-US" w:eastAsia="zh-CN" w:bidi="ar"/>
        </w:rPr>
        <w:t>。</w:t>
      </w:r>
    </w:p>
    <w:p w14:paraId="5E9A8D3A">
      <w:pPr>
        <w:pStyle w:val="16"/>
        <w:shd w:val="clear" w:color="auto" w:fill="FFFFFF"/>
        <w:spacing w:before="0" w:beforeAutospacing="0" w:after="0" w:afterAutospacing="0" w:line="580" w:lineRule="exact"/>
        <w:ind w:firstLine="480"/>
        <w:textAlignment w:val="center"/>
        <w:rPr>
          <w:rFonts w:hint="eastAsia" w:ascii="仿宋_GB2312" w:eastAsia="仿宋_GB2312"/>
          <w:color w:val="00000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eastAsia="仿宋_GB2312"/>
          <w:color w:val="000000"/>
          <w:sz w:val="32"/>
          <w:szCs w:val="32"/>
          <w:shd w:val="clear" w:color="auto" w:fill="FFFFFF"/>
          <w:lang w:val="zh-CN"/>
        </w:rPr>
        <w:t>1.组织有待加强。镇党委、政府十分重视绩效管理工作，按照年初绩效目标，定期跟踪整体绩效情况，但由于绩效工作专业性强，缺少专业人员指导培训，虽能保障绩效工作的有序进行，但影响了绩效工作的时效性以及整体绩效评估质量。</w:t>
      </w:r>
    </w:p>
    <w:p w14:paraId="2DFFFD6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仿宋_GB2312" w:eastAsia="仿宋_GB2312"/>
          <w:color w:val="000000"/>
          <w:sz w:val="32"/>
          <w:szCs w:val="32"/>
          <w:shd w:val="clear" w:color="auto" w:fill="FFFFFF"/>
          <w:lang w:val="zh-CN"/>
        </w:rPr>
        <w:t>2.制度有待健全。由于对于绩效评价工作熟悉度不够，镇政府在规范绩效目标、绩效跟踪、绩效评价、结果运用等各项管理制度，和财政局对于确保绩效管理与预算编制、执行、监督的有效衔接方面还有待进一步加强</w:t>
      </w:r>
      <w:r>
        <w:rPr>
          <w:rFonts w:hint="eastAsia" w:ascii="Times New Roman" w:hAnsi="Times New Roman" w:eastAsia="仿宋_GB2312" w:cs="Times New Roman"/>
          <w:sz w:val="32"/>
          <w:szCs w:val="32"/>
          <w:u w:val="none"/>
          <w:lang w:val="en-US" w:eastAsia="zh-CN" w:bidi="ar"/>
        </w:rPr>
        <w:t>。</w:t>
      </w:r>
    </w:p>
    <w:p w14:paraId="1C491D82">
      <w:pPr>
        <w:pStyle w:val="16"/>
        <w:shd w:val="clear" w:color="auto" w:fill="FFFFFF"/>
        <w:spacing w:before="0" w:beforeAutospacing="0" w:after="0" w:afterAutospacing="0" w:line="580" w:lineRule="exact"/>
        <w:ind w:firstLine="480"/>
        <w:textAlignment w:val="center"/>
        <w:rPr>
          <w:rFonts w:hint="eastAsia" w:ascii="仿宋_GB2312" w:eastAsia="仿宋_GB2312"/>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9" w:name="_Hlk110546638"/>
      <w:r>
        <w:rPr>
          <w:rFonts w:hint="eastAsia" w:ascii="仿宋_GB2312" w:eastAsia="仿宋_GB2312"/>
          <w:sz w:val="32"/>
          <w:szCs w:val="32"/>
          <w:shd w:val="clear" w:color="auto" w:fill="FFFFFF"/>
          <w:lang w:val="zh-CN"/>
        </w:rPr>
        <w:t>1.加强组织领导。在现有预算绩效管理工作的基础上，加强单位绩效评价人员的配备以及业务知识培训，确保绩效建设工作扎实深入开展。</w:t>
      </w:r>
    </w:p>
    <w:p w14:paraId="492C586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仿宋_GB2312" w:eastAsia="仿宋_GB2312"/>
          <w:color w:val="000000"/>
          <w:sz w:val="32"/>
          <w:szCs w:val="32"/>
          <w:shd w:val="clear" w:color="auto" w:fill="FFFFFF"/>
          <w:lang w:val="zh-CN"/>
        </w:rPr>
        <w:t>2.加强绩效监控。注重对绩效运行过程实施全目标、全过程、全方位的监控，积极跟踪年度目标任务执行情况，分析各项绩效指标阶段性完成情况。根据绩效跟踪监控情况，及时、有效地开展项目绩效自评，通过评价结果，发现问题、解决问题，进一步完善项目绩效管理工作</w:t>
      </w:r>
      <w:r>
        <w:rPr>
          <w:rFonts w:hint="eastAsia" w:ascii="Times New Roman" w:hAnsi="Times New Roman" w:eastAsia="仿宋_GB2312" w:cs="Times New Roman"/>
          <w:sz w:val="32"/>
          <w:szCs w:val="32"/>
          <w:u w:val="none"/>
          <w:lang w:val="en-US" w:eastAsia="zh-CN" w:bidi="ar"/>
        </w:rPr>
        <w:t>。</w:t>
      </w:r>
    </w:p>
    <w:bookmarkEnd w:id="59"/>
    <w:p w14:paraId="0E93B46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E6792E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15A20A21">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BB19B3C">
      <w:pPr>
        <w:pStyle w:val="6"/>
        <w:rPr>
          <w:rFonts w:hint="eastAsia" w:ascii="Times New Roman" w:hAnsi="Times New Roman" w:cs="宋体"/>
          <w:color w:val="FF0000"/>
          <w:kern w:val="0"/>
          <w:sz w:val="32"/>
          <w:szCs w:val="32"/>
          <w:highlight w:val="yellow"/>
          <w:shd w:val="clear" w:color="auto" w:fill="FFFFFF"/>
          <w:lang w:val="zh-CN"/>
        </w:rPr>
      </w:pPr>
    </w:p>
    <w:p w14:paraId="200DC5F9">
      <w:pPr>
        <w:rPr>
          <w:rFonts w:hint="eastAsia" w:ascii="Times New Roman" w:hAnsi="Times New Roman" w:eastAsia="仿宋_GB2312" w:cs="仿宋_GB2312"/>
          <w:b w:val="0"/>
          <w:bCs w:val="0"/>
          <w:kern w:val="0"/>
          <w:position w:val="0"/>
          <w:sz w:val="32"/>
          <w:szCs w:val="32"/>
          <w:highlight w:val="none"/>
          <w:lang w:val="en-US" w:eastAsia="zh-CN" w:bidi="ar-SA"/>
        </w:rPr>
      </w:pPr>
      <w:bookmarkStart w:id="6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EA8E1BF">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7"/>
      <w:bookmarkEnd w:id="60"/>
      <w:bookmarkStart w:id="61" w:name="_Toc15396619"/>
    </w:p>
    <w:p w14:paraId="64576E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48031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1"/>
    </w:p>
    <w:p w14:paraId="122A227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0"/>
      <w:r>
        <w:rPr>
          <w:rFonts w:hint="eastAsia" w:ascii="Times New Roman" w:hAnsi="Times New Roman" w:eastAsia="仿宋_GB2312" w:cs="仿宋_GB2312"/>
          <w:color w:val="auto"/>
          <w:sz w:val="32"/>
          <w:szCs w:val="32"/>
          <w:highlight w:val="none"/>
        </w:rPr>
        <w:t>二、收入决算表</w:t>
      </w:r>
      <w:bookmarkEnd w:id="62"/>
    </w:p>
    <w:p w14:paraId="5F395F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1"/>
      <w:r>
        <w:rPr>
          <w:rFonts w:hint="eastAsia" w:ascii="Times New Roman" w:hAnsi="Times New Roman" w:eastAsia="仿宋_GB2312" w:cs="仿宋_GB2312"/>
          <w:color w:val="auto"/>
          <w:sz w:val="32"/>
          <w:szCs w:val="32"/>
          <w:highlight w:val="none"/>
        </w:rPr>
        <w:t>三、支出决算表</w:t>
      </w:r>
      <w:bookmarkEnd w:id="63"/>
    </w:p>
    <w:p w14:paraId="7283C0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2"/>
      <w:r>
        <w:rPr>
          <w:rFonts w:hint="eastAsia" w:ascii="Times New Roman" w:hAnsi="Times New Roman" w:eastAsia="仿宋_GB2312" w:cs="仿宋_GB2312"/>
          <w:color w:val="auto"/>
          <w:sz w:val="32"/>
          <w:szCs w:val="32"/>
          <w:highlight w:val="none"/>
        </w:rPr>
        <w:t>四、财政拨款收入支出决算总表</w:t>
      </w:r>
      <w:bookmarkEnd w:id="64"/>
    </w:p>
    <w:p w14:paraId="4340D5A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3"/>
      <w:r>
        <w:rPr>
          <w:rFonts w:hint="eastAsia" w:ascii="Times New Roman" w:hAnsi="Times New Roman" w:eastAsia="仿宋_GB2312" w:cs="仿宋_GB2312"/>
          <w:color w:val="auto"/>
          <w:sz w:val="32"/>
          <w:szCs w:val="32"/>
          <w:highlight w:val="none"/>
        </w:rPr>
        <w:t>五、财政拨款支出决算明细表</w:t>
      </w:r>
      <w:bookmarkEnd w:id="65"/>
      <w:bookmarkStart w:id="66" w:name="_Toc15396624"/>
    </w:p>
    <w:p w14:paraId="355801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6"/>
    </w:p>
    <w:p w14:paraId="31519F3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5"/>
      <w:r>
        <w:rPr>
          <w:rFonts w:hint="eastAsia" w:ascii="Times New Roman" w:hAnsi="Times New Roman" w:eastAsia="仿宋_GB2312" w:cs="仿宋_GB2312"/>
          <w:color w:val="auto"/>
          <w:sz w:val="32"/>
          <w:szCs w:val="32"/>
          <w:highlight w:val="none"/>
        </w:rPr>
        <w:t>七、一般公共预算财政拨款支出决算明细表</w:t>
      </w:r>
      <w:bookmarkEnd w:id="67"/>
    </w:p>
    <w:p w14:paraId="6766696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6"/>
      <w:r>
        <w:rPr>
          <w:rFonts w:hint="eastAsia" w:ascii="Times New Roman" w:hAnsi="Times New Roman" w:eastAsia="仿宋_GB2312" w:cs="仿宋_GB2312"/>
          <w:color w:val="auto"/>
          <w:sz w:val="32"/>
          <w:szCs w:val="32"/>
          <w:highlight w:val="none"/>
        </w:rPr>
        <w:t>八、一般公共预算财政拨款基本支出决算表</w:t>
      </w:r>
      <w:bookmarkEnd w:id="68"/>
    </w:p>
    <w:p w14:paraId="38731C5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7"/>
      <w:r>
        <w:rPr>
          <w:rFonts w:hint="eastAsia" w:ascii="Times New Roman" w:hAnsi="Times New Roman" w:eastAsia="仿宋_GB2312" w:cs="仿宋_GB2312"/>
          <w:color w:val="auto"/>
          <w:sz w:val="32"/>
          <w:szCs w:val="32"/>
          <w:highlight w:val="none"/>
        </w:rPr>
        <w:t>九、一般公共预算财政拨款项目支出决算表</w:t>
      </w:r>
      <w:bookmarkEnd w:id="69"/>
    </w:p>
    <w:p w14:paraId="5A9B268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8"/>
      <w:r>
        <w:rPr>
          <w:rFonts w:hint="eastAsia" w:ascii="Times New Roman" w:hAnsi="Times New Roman" w:eastAsia="仿宋_GB2312" w:cs="仿宋_GB2312"/>
          <w:color w:val="auto"/>
          <w:sz w:val="32"/>
          <w:szCs w:val="32"/>
          <w:highlight w:val="none"/>
        </w:rPr>
        <w:t>十、</w:t>
      </w:r>
      <w:bookmarkEnd w:id="70"/>
      <w:r>
        <w:rPr>
          <w:rFonts w:hint="eastAsia" w:ascii="Times New Roman" w:hAnsi="Times New Roman" w:eastAsia="仿宋_GB2312" w:cs="仿宋_GB2312"/>
          <w:color w:val="auto"/>
          <w:sz w:val="32"/>
          <w:szCs w:val="32"/>
          <w:highlight w:val="none"/>
        </w:rPr>
        <w:t>政府性基金预算财政拨款收入支出决算表</w:t>
      </w:r>
    </w:p>
    <w:p w14:paraId="7735C55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9"/>
      <w:r>
        <w:rPr>
          <w:rFonts w:hint="eastAsia" w:ascii="Times New Roman" w:hAnsi="Times New Roman" w:eastAsia="仿宋_GB2312" w:cs="仿宋_GB2312"/>
          <w:color w:val="auto"/>
          <w:sz w:val="32"/>
          <w:szCs w:val="32"/>
          <w:highlight w:val="none"/>
        </w:rPr>
        <w:t>十一、</w:t>
      </w:r>
      <w:bookmarkEnd w:id="7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9CBC5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30"/>
      <w:r>
        <w:rPr>
          <w:rFonts w:hint="eastAsia" w:ascii="Times New Roman" w:hAnsi="Times New Roman" w:eastAsia="仿宋_GB2312" w:cs="仿宋_GB2312"/>
          <w:color w:val="auto"/>
          <w:sz w:val="32"/>
          <w:szCs w:val="32"/>
          <w:highlight w:val="none"/>
        </w:rPr>
        <w:t>十二、</w:t>
      </w:r>
      <w:bookmarkEnd w:id="72"/>
      <w:r>
        <w:rPr>
          <w:rFonts w:hint="eastAsia" w:ascii="Times New Roman" w:hAnsi="Times New Roman" w:eastAsia="仿宋_GB2312" w:cs="仿宋_GB2312"/>
          <w:color w:val="auto"/>
          <w:sz w:val="32"/>
          <w:szCs w:val="32"/>
          <w:highlight w:val="none"/>
          <w:lang w:eastAsia="zh-CN"/>
        </w:rPr>
        <w:t>国有资本经营预算财政拨款支出决算表</w:t>
      </w:r>
    </w:p>
    <w:p w14:paraId="6E907C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3" w:name="_Toc15396631"/>
      <w:r>
        <w:rPr>
          <w:rFonts w:hint="eastAsia" w:ascii="Times New Roman" w:hAnsi="Times New Roman" w:eastAsia="仿宋_GB2312" w:cs="仿宋_GB2312"/>
          <w:color w:val="auto"/>
          <w:sz w:val="32"/>
          <w:szCs w:val="32"/>
          <w:highlight w:val="none"/>
        </w:rPr>
        <w:t>十三、</w:t>
      </w:r>
      <w:bookmarkEnd w:id="73"/>
      <w:r>
        <w:rPr>
          <w:rFonts w:hint="eastAsia" w:ascii="Times New Roman" w:hAnsi="Times New Roman" w:eastAsia="仿宋_GB2312" w:cs="仿宋_GB2312"/>
          <w:color w:val="auto"/>
          <w:sz w:val="32"/>
          <w:szCs w:val="32"/>
          <w:highlight w:val="none"/>
          <w:lang w:eastAsia="zh-CN"/>
        </w:rPr>
        <w:t>财政拨款“三公”经费支出决算表</w:t>
      </w:r>
    </w:p>
    <w:p w14:paraId="24A4E832">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E504">
    <w:pPr>
      <w:pStyle w:val="11"/>
      <w:jc w:val="center"/>
    </w:pPr>
  </w:p>
  <w:p w14:paraId="6D85DC1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DA65">
    <w:pPr>
      <w:pStyle w:val="11"/>
      <w:jc w:val="center"/>
    </w:pPr>
  </w:p>
  <w:p w14:paraId="07B85A5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EBE7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06A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D006A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18702">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1ACF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611ACF2">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2690BC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12EF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0E981B"/>
    <w:multiLevelType w:val="singleLevel"/>
    <w:tmpl w:val="2D0E981B"/>
    <w:lvl w:ilvl="0" w:tentative="0">
      <w:start w:val="2"/>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6E9D05B8"/>
    <w:multiLevelType w:val="singleLevel"/>
    <w:tmpl w:val="6E9D05B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A85D51"/>
    <w:rsid w:val="02317B1B"/>
    <w:rsid w:val="02B669DF"/>
    <w:rsid w:val="02FEBE30"/>
    <w:rsid w:val="061E35DE"/>
    <w:rsid w:val="066E0107"/>
    <w:rsid w:val="07996F6E"/>
    <w:rsid w:val="07DFD8BA"/>
    <w:rsid w:val="08DB07E4"/>
    <w:rsid w:val="09867E8F"/>
    <w:rsid w:val="0A2032A3"/>
    <w:rsid w:val="0C6C4794"/>
    <w:rsid w:val="0CA8290A"/>
    <w:rsid w:val="0D35B1ED"/>
    <w:rsid w:val="0D7A666F"/>
    <w:rsid w:val="0DE07E2B"/>
    <w:rsid w:val="0F98263C"/>
    <w:rsid w:val="101860EC"/>
    <w:rsid w:val="10272251"/>
    <w:rsid w:val="10C055FF"/>
    <w:rsid w:val="11772AA4"/>
    <w:rsid w:val="118107EC"/>
    <w:rsid w:val="13957196"/>
    <w:rsid w:val="13D50BC4"/>
    <w:rsid w:val="14022904"/>
    <w:rsid w:val="14BA4E23"/>
    <w:rsid w:val="152F2A07"/>
    <w:rsid w:val="165E0673"/>
    <w:rsid w:val="16B40F7A"/>
    <w:rsid w:val="16BB723D"/>
    <w:rsid w:val="16F13FCB"/>
    <w:rsid w:val="17646FFE"/>
    <w:rsid w:val="186504BB"/>
    <w:rsid w:val="18D55226"/>
    <w:rsid w:val="1938089F"/>
    <w:rsid w:val="19A445FC"/>
    <w:rsid w:val="1B7D550C"/>
    <w:rsid w:val="1BE8440E"/>
    <w:rsid w:val="1D155CEE"/>
    <w:rsid w:val="1DE178F3"/>
    <w:rsid w:val="1DE40D5D"/>
    <w:rsid w:val="1E740ACF"/>
    <w:rsid w:val="1E8224E0"/>
    <w:rsid w:val="1FF35744"/>
    <w:rsid w:val="1FF6BC77"/>
    <w:rsid w:val="20C052A0"/>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FC44D4"/>
    <w:rsid w:val="34281836"/>
    <w:rsid w:val="349D6851"/>
    <w:rsid w:val="35BA6CAF"/>
    <w:rsid w:val="35C35AAF"/>
    <w:rsid w:val="35D37231"/>
    <w:rsid w:val="364D14C1"/>
    <w:rsid w:val="36AA5135"/>
    <w:rsid w:val="36BB3856"/>
    <w:rsid w:val="36BE0DA7"/>
    <w:rsid w:val="376B6AA6"/>
    <w:rsid w:val="376D39B2"/>
    <w:rsid w:val="37E16F03"/>
    <w:rsid w:val="37F53A3B"/>
    <w:rsid w:val="389B6C89"/>
    <w:rsid w:val="38D469F0"/>
    <w:rsid w:val="39627CCD"/>
    <w:rsid w:val="397BAF1F"/>
    <w:rsid w:val="3AB79AF3"/>
    <w:rsid w:val="3B7EF35A"/>
    <w:rsid w:val="3B9FDB6C"/>
    <w:rsid w:val="3BF5BC2F"/>
    <w:rsid w:val="3C3A3CBF"/>
    <w:rsid w:val="3CEBA265"/>
    <w:rsid w:val="3D98207C"/>
    <w:rsid w:val="3D9B0D99"/>
    <w:rsid w:val="3DEE7CF3"/>
    <w:rsid w:val="3DF02244"/>
    <w:rsid w:val="3E727449"/>
    <w:rsid w:val="3E78745D"/>
    <w:rsid w:val="3FF4CAE0"/>
    <w:rsid w:val="3FF7B227"/>
    <w:rsid w:val="40E54C45"/>
    <w:rsid w:val="41313393"/>
    <w:rsid w:val="423E0B9E"/>
    <w:rsid w:val="43A407DF"/>
    <w:rsid w:val="44515BEA"/>
    <w:rsid w:val="44E268DA"/>
    <w:rsid w:val="453F7E5B"/>
    <w:rsid w:val="46696E2A"/>
    <w:rsid w:val="46B01469"/>
    <w:rsid w:val="486A6C7A"/>
    <w:rsid w:val="49176D9B"/>
    <w:rsid w:val="494006BD"/>
    <w:rsid w:val="4A627F82"/>
    <w:rsid w:val="4B0E749A"/>
    <w:rsid w:val="4B4F25DA"/>
    <w:rsid w:val="4B6F4868"/>
    <w:rsid w:val="4BDA0CFB"/>
    <w:rsid w:val="4BE068DB"/>
    <w:rsid w:val="4D3C0CCC"/>
    <w:rsid w:val="4D577224"/>
    <w:rsid w:val="4D866FA2"/>
    <w:rsid w:val="4DBF1CEB"/>
    <w:rsid w:val="4EAB630A"/>
    <w:rsid w:val="4ECE2238"/>
    <w:rsid w:val="4F833267"/>
    <w:rsid w:val="4FE9BD67"/>
    <w:rsid w:val="4FFB052F"/>
    <w:rsid w:val="528E56AE"/>
    <w:rsid w:val="52950FA7"/>
    <w:rsid w:val="53083A92"/>
    <w:rsid w:val="537E6D0A"/>
    <w:rsid w:val="53AF27A2"/>
    <w:rsid w:val="53F74C96"/>
    <w:rsid w:val="5553404A"/>
    <w:rsid w:val="56E47B74"/>
    <w:rsid w:val="57BD3DD4"/>
    <w:rsid w:val="58476753"/>
    <w:rsid w:val="59D6437F"/>
    <w:rsid w:val="5AF9149A"/>
    <w:rsid w:val="5AF92295"/>
    <w:rsid w:val="5AF96336"/>
    <w:rsid w:val="5BDD79E6"/>
    <w:rsid w:val="5BF35DC7"/>
    <w:rsid w:val="5BF561CA"/>
    <w:rsid w:val="5BFF5DFC"/>
    <w:rsid w:val="5CD71FC4"/>
    <w:rsid w:val="5D1902C6"/>
    <w:rsid w:val="5D1F11B5"/>
    <w:rsid w:val="5D8440F2"/>
    <w:rsid w:val="5DAE1B18"/>
    <w:rsid w:val="5DE7D9E5"/>
    <w:rsid w:val="5EB822A5"/>
    <w:rsid w:val="5ECEC941"/>
    <w:rsid w:val="5F493CB7"/>
    <w:rsid w:val="5FBF9FF3"/>
    <w:rsid w:val="5FCD4E2C"/>
    <w:rsid w:val="5FD15F49"/>
    <w:rsid w:val="5FEF394A"/>
    <w:rsid w:val="5FF67715"/>
    <w:rsid w:val="6071095D"/>
    <w:rsid w:val="6129748A"/>
    <w:rsid w:val="62BF3928"/>
    <w:rsid w:val="647F5392"/>
    <w:rsid w:val="664B1D71"/>
    <w:rsid w:val="6655606A"/>
    <w:rsid w:val="665B4C6A"/>
    <w:rsid w:val="67136123"/>
    <w:rsid w:val="67AA3209"/>
    <w:rsid w:val="68016A6B"/>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5D4533"/>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3C589D"/>
    <w:rsid w:val="78AA6CAB"/>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C01〗正文"/>
    <w:basedOn w:val="1"/>
    <w:qFormat/>
    <w:uiPriority w:val="0"/>
    <w:pPr>
      <w:topLinePunct/>
      <w:spacing w:line="600" w:lineRule="exact"/>
      <w:ind w:firstLine="640" w:firstLineChars="200"/>
    </w:pPr>
    <w:rPr>
      <w:rFonts w:ascii="仿宋_GB2312" w:hAnsi="Calibri" w:eastAsia="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24327927127305"/>
          <c:y val="0.274403595820008"/>
          <c:w val="0.895014939455889"/>
          <c:h val="0.320303756994404"/>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1784.07</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ab34b4a-0925-4f44-90f2-6720eb5f58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1645.13</c:v>
                </c:pt>
                <c:pt idx="1">
                  <c:v>138.94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62619079565276"/>
          <c:y val="0.032711474571939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1151.48</c:v>
                </c:pt>
                <c:pt idx="1">
                  <c:v>632.58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79981215617872"/>
          <c:y val="0.08254536161512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06286799620133"/>
          <c:y val="0.222601441031475"/>
          <c:w val="0.888015194681861"/>
          <c:h val="0.429048160788775"/>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1784.07</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79dcb3-6084-42a7-a680-3c844d6599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06286799620133"/>
          <c:y val="0.222601441031475"/>
          <c:w val="0.888015194681861"/>
          <c:h val="0.429048160788775"/>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1645.13</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79dcb3-6084-42a7-a680-3c844d6599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01618748489973"/>
          <c:y val="0.341053973650659"/>
        </c:manualLayout>
      </c:layout>
      <c:overlay val="0"/>
      <c:spPr>
        <a:noFill/>
        <a:ln>
          <a:noFill/>
        </a:ln>
        <a:effectLst/>
      </c:spPr>
    </c:title>
    <c:autoTitleDeleted val="0"/>
    <c:plotArea>
      <c:layout/>
      <c:pieChart>
        <c:varyColors val="1"/>
        <c:ser>
          <c:idx val="0"/>
          <c:order val="0"/>
          <c:tx>
            <c:strRef>
              <c:f>Sheet1!$B$1</c:f>
              <c:strCache>
                <c:ptCount val="1"/>
                <c:pt idx="0">
                  <c:v>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文化旅游体育与传媒支出</c:v>
                </c:pt>
                <c:pt idx="2">
                  <c:v>社会保障和就业支出</c:v>
                </c:pt>
                <c:pt idx="3">
                  <c:v>卫生健康支出</c:v>
                </c:pt>
                <c:pt idx="4">
                  <c:v>住房保障支出</c:v>
                </c:pt>
                <c:pt idx="5">
                  <c:v>节能环保支出</c:v>
                </c:pt>
                <c:pt idx="6">
                  <c:v>农林水支出</c:v>
                </c:pt>
              </c:strCache>
            </c:strRef>
          </c:cat>
          <c:val>
            <c:numRef>
              <c:f>Sheet1!$B$2:$B$8</c:f>
              <c:numCache>
                <c:formatCode>General</c:formatCode>
                <c:ptCount val="7"/>
                <c:pt idx="0">
                  <c:v>729.99</c:v>
                </c:pt>
                <c:pt idx="1">
                  <c:v>5</c:v>
                </c:pt>
                <c:pt idx="2">
                  <c:v>146.56</c:v>
                </c:pt>
                <c:pt idx="3">
                  <c:v>34.63</c:v>
                </c:pt>
                <c:pt idx="4">
                  <c:v>85.98</c:v>
                </c:pt>
                <c:pt idx="5">
                  <c:v>0.68</c:v>
                </c:pt>
                <c:pt idx="6">
                  <c:v>38.4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18627687847306"/>
          <c:y val="0.083297917552061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38681c-7d14-4d21-8810-5330d61077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公务用车购置及运行维护费</c:v>
                </c:pt>
                <c:pt idx="1">
                  <c:v>公务接待费</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2.74</c:v>
                </c:pt>
                <c:pt idx="1">
                  <c:v>0.57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5922447336643"/>
          <c:y val="0.09021211346792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9476</Words>
  <Characters>10192</Characters>
  <Lines>61</Lines>
  <Paragraphs>17</Paragraphs>
  <TotalTime>5</TotalTime>
  <ScaleCrop>false</ScaleCrop>
  <LinksUpToDate>false</LinksUpToDate>
  <CharactersWithSpaces>10240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2165-01-16T02:50:13Z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400D301575C74348A5277D00A7902E06</vt:lpwstr>
  </property>
  <property fmtid="{D5CDD505-2E9C-101B-9397-08002B2CF9AE}" pid="4" name="KSOTemplateDocerSaveRecord">
    <vt:lpwstr>eyJoZGlkIjoiNTkxZTc5NDUwYmYyOGJmNmM1NjY3YjQxYzhkOTc3YzIifQ==</vt:lpwstr>
  </property>
</Properties>
</file>